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5B710" w14:textId="295B65AB" w:rsidR="00DB67D1" w:rsidRPr="004C680D" w:rsidRDefault="00DE2A20" w:rsidP="00A85124">
      <w:pPr>
        <w:spacing w:line="252" w:lineRule="auto"/>
        <w:ind w:right="-45"/>
        <w:rPr>
          <w:b/>
          <w:bCs/>
          <w:sz w:val="32"/>
          <w:szCs w:val="32"/>
        </w:rPr>
      </w:pPr>
      <w:r w:rsidRPr="004C680D">
        <w:rPr>
          <w:b/>
          <w:bCs/>
          <w:sz w:val="32"/>
          <w:szCs w:val="32"/>
        </w:rPr>
        <w:t>Implementation Statement</w:t>
      </w:r>
      <w:r w:rsidR="006C5902" w:rsidRPr="004C680D">
        <w:rPr>
          <w:b/>
          <w:bCs/>
          <w:sz w:val="32"/>
          <w:szCs w:val="32"/>
        </w:rPr>
        <w:t xml:space="preserve"> </w:t>
      </w:r>
      <w:r w:rsidR="00DB67D1" w:rsidRPr="004C680D">
        <w:rPr>
          <w:b/>
          <w:bCs/>
          <w:sz w:val="32"/>
          <w:szCs w:val="32"/>
        </w:rPr>
        <w:t xml:space="preserve">for the </w:t>
      </w:r>
      <w:r w:rsidR="00544F64" w:rsidRPr="004C680D">
        <w:rPr>
          <w:b/>
          <w:bCs/>
          <w:sz w:val="32"/>
          <w:szCs w:val="32"/>
        </w:rPr>
        <w:t>Staff Pension and Life Assurance Scheme of the Royal Hospital for Neuro-disability</w:t>
      </w:r>
      <w:r w:rsidR="00AB4A1A" w:rsidRPr="004C680D">
        <w:rPr>
          <w:b/>
          <w:bCs/>
          <w:sz w:val="32"/>
          <w:szCs w:val="32"/>
        </w:rPr>
        <w:t xml:space="preserve"> - DC Section</w:t>
      </w:r>
    </w:p>
    <w:p w14:paraId="0CBCFD87" w14:textId="6D822378" w:rsidR="00DE2A20" w:rsidRDefault="1E69973C" w:rsidP="00E52895">
      <w:pPr>
        <w:spacing w:after="240" w:line="252" w:lineRule="auto"/>
        <w:ind w:right="-45"/>
        <w:rPr>
          <w:b/>
          <w:bCs/>
          <w:sz w:val="28"/>
          <w:szCs w:val="28"/>
        </w:rPr>
      </w:pPr>
      <w:r w:rsidRPr="5BEACF45">
        <w:rPr>
          <w:b/>
          <w:bCs/>
          <w:sz w:val="28"/>
          <w:szCs w:val="28"/>
        </w:rPr>
        <w:t xml:space="preserve">Covering 1 </w:t>
      </w:r>
      <w:r w:rsidR="10086BD5" w:rsidRPr="5BEACF45">
        <w:rPr>
          <w:b/>
          <w:bCs/>
          <w:sz w:val="28"/>
          <w:szCs w:val="28"/>
        </w:rPr>
        <w:t>October</w:t>
      </w:r>
      <w:r w:rsidRPr="5BEACF45">
        <w:rPr>
          <w:b/>
          <w:bCs/>
          <w:sz w:val="28"/>
          <w:szCs w:val="28"/>
        </w:rPr>
        <w:t xml:space="preserve"> 20</w:t>
      </w:r>
      <w:r w:rsidR="719B9CDD" w:rsidRPr="5BEACF45">
        <w:rPr>
          <w:b/>
          <w:bCs/>
          <w:sz w:val="28"/>
          <w:szCs w:val="28"/>
        </w:rPr>
        <w:t>2</w:t>
      </w:r>
      <w:r w:rsidR="008F58E8">
        <w:rPr>
          <w:b/>
          <w:bCs/>
          <w:sz w:val="28"/>
          <w:szCs w:val="28"/>
        </w:rPr>
        <w:t>3</w:t>
      </w:r>
      <w:r w:rsidRPr="5BEACF45">
        <w:rPr>
          <w:b/>
          <w:bCs/>
          <w:sz w:val="28"/>
          <w:szCs w:val="28"/>
        </w:rPr>
        <w:t xml:space="preserve"> to 3</w:t>
      </w:r>
      <w:r w:rsidR="10086BD5" w:rsidRPr="5BEACF45">
        <w:rPr>
          <w:b/>
          <w:bCs/>
          <w:sz w:val="28"/>
          <w:szCs w:val="28"/>
        </w:rPr>
        <w:t xml:space="preserve">0 September </w:t>
      </w:r>
      <w:r w:rsidRPr="5BEACF45">
        <w:rPr>
          <w:b/>
          <w:bCs/>
          <w:sz w:val="28"/>
          <w:szCs w:val="28"/>
        </w:rPr>
        <w:t>202</w:t>
      </w:r>
      <w:r w:rsidR="008F58E8">
        <w:rPr>
          <w:b/>
          <w:bCs/>
          <w:sz w:val="28"/>
          <w:szCs w:val="28"/>
        </w:rPr>
        <w:t>4</w:t>
      </w:r>
    </w:p>
    <w:p w14:paraId="6A6437E4" w14:textId="54047EA0" w:rsidR="00DE2A20" w:rsidRPr="007D015E" w:rsidRDefault="00DF7D56" w:rsidP="00E52895">
      <w:pPr>
        <w:pStyle w:val="ListParagraph"/>
        <w:numPr>
          <w:ilvl w:val="0"/>
          <w:numId w:val="1"/>
        </w:numPr>
        <w:spacing w:line="252" w:lineRule="auto"/>
        <w:ind w:left="357" w:right="-45" w:hanging="357"/>
        <w:contextualSpacing w:val="0"/>
        <w:rPr>
          <w:b/>
          <w:bCs/>
          <w:sz w:val="24"/>
          <w:szCs w:val="24"/>
        </w:rPr>
      </w:pPr>
      <w:r w:rsidRPr="007D015E">
        <w:rPr>
          <w:b/>
          <w:bCs/>
          <w:sz w:val="24"/>
          <w:szCs w:val="24"/>
        </w:rPr>
        <w:t>Background</w:t>
      </w:r>
    </w:p>
    <w:p w14:paraId="0B709704" w14:textId="10904628" w:rsidR="00DF7D56" w:rsidRDefault="00223320" w:rsidP="00430C7C">
      <w:pPr>
        <w:spacing w:after="200" w:line="252" w:lineRule="auto"/>
        <w:ind w:right="-45"/>
      </w:pPr>
      <w:r w:rsidRPr="00223320">
        <w:t xml:space="preserve">The Trustees of the Staff Pension and Life Assurance Scheme of the Royal Hospital for Neuro-disability (the “Trustees” and “Scheme” respectively) </w:t>
      </w:r>
      <w:r w:rsidR="00850994">
        <w:t>are</w:t>
      </w:r>
      <w:r w:rsidR="00DF7D56">
        <w:t xml:space="preserve"> required to produce a yearly statement to set out how, and the extent to which, the Trustees have followed the </w:t>
      </w:r>
      <w:r w:rsidR="00AF013B">
        <w:t>Scheme</w:t>
      </w:r>
      <w:r w:rsidR="00AD7601">
        <w:t>’s</w:t>
      </w:r>
      <w:r w:rsidR="00DF7D56">
        <w:t xml:space="preserve"> Statement of Investment Principles (“SIP”) during the previous Scheme year. </w:t>
      </w:r>
      <w:r w:rsidR="00DB67CC" w:rsidRPr="00DB67CC">
        <w:t>This statement is not designed to restate the contents of the SIP, but to focus on adherence to stated policies and also comment on changes during the reporting period, including any reviews of the investment strategy</w:t>
      </w:r>
      <w:r w:rsidR="00DB67CC">
        <w:t xml:space="preserve">. </w:t>
      </w:r>
      <w:r w:rsidR="00DF7D56">
        <w:t>This statement also include</w:t>
      </w:r>
      <w:r w:rsidR="00DA5646">
        <w:t>s</w:t>
      </w:r>
      <w:r w:rsidR="00DF7D56">
        <w:t xml:space="preserve"> the details of any reviews of the SIP during the year, any changes that were made and reasons for the changes.</w:t>
      </w:r>
      <w:r w:rsidR="00951DB0">
        <w:t xml:space="preserve"> </w:t>
      </w:r>
    </w:p>
    <w:p w14:paraId="667B3C69" w14:textId="67840170" w:rsidR="004375E8" w:rsidRDefault="004375E8" w:rsidP="00E52895">
      <w:pPr>
        <w:spacing w:after="200" w:line="252" w:lineRule="auto"/>
        <w:ind w:right="-45"/>
      </w:pPr>
      <w:r>
        <w:t>A description of the voting behaviour during the year</w:t>
      </w:r>
      <w:r w:rsidR="001F25B2">
        <w:t xml:space="preserve">, either by or on behalf of the Trustees, </w:t>
      </w:r>
      <w:r w:rsidR="00AE6E59">
        <w:t xml:space="preserve">or if a proxy voter was used, </w:t>
      </w:r>
      <w:r w:rsidR="002A6E33">
        <w:t xml:space="preserve">is </w:t>
      </w:r>
      <w:r w:rsidR="001F25B2">
        <w:t>included within this statement.</w:t>
      </w:r>
      <w:r w:rsidR="001D5C4C">
        <w:t xml:space="preserve"> </w:t>
      </w:r>
    </w:p>
    <w:p w14:paraId="0AE780AA" w14:textId="7F68CF0E" w:rsidR="00E3162A" w:rsidRDefault="001C49B0" w:rsidP="00E52895">
      <w:pPr>
        <w:spacing w:after="200" w:line="252" w:lineRule="auto"/>
        <w:ind w:right="-45"/>
        <w:rPr>
          <w:color w:val="000000" w:themeColor="text1"/>
        </w:rPr>
      </w:pPr>
      <w:r>
        <w:t xml:space="preserve">This statement should be read in </w:t>
      </w:r>
      <w:r w:rsidRPr="00B92430">
        <w:t>conjunction with the</w:t>
      </w:r>
      <w:r w:rsidR="00BC5882" w:rsidRPr="00B92430">
        <w:t xml:space="preserve"> </w:t>
      </w:r>
      <w:r w:rsidRPr="00B92430">
        <w:t>SIP</w:t>
      </w:r>
      <w:r w:rsidR="00E3162A" w:rsidRPr="00B92430">
        <w:t xml:space="preserve"> and</w:t>
      </w:r>
      <w:r w:rsidR="00E3162A">
        <w:rPr>
          <w:color w:val="000000" w:themeColor="text1"/>
        </w:rPr>
        <w:t xml:space="preserve"> ha</w:t>
      </w:r>
      <w:r w:rsidR="00B92430">
        <w:rPr>
          <w:color w:val="000000" w:themeColor="text1"/>
        </w:rPr>
        <w:t>s</w:t>
      </w:r>
      <w:r w:rsidR="00E3162A">
        <w:rPr>
          <w:color w:val="000000" w:themeColor="text1"/>
        </w:rPr>
        <w:t xml:space="preserve"> been produced in accordance with </w:t>
      </w:r>
      <w:r w:rsidR="00E3162A">
        <w:rPr>
          <w:b/>
          <w:color w:val="000000" w:themeColor="text1"/>
        </w:rPr>
        <w:t>The Pension Protection Fund (Pensionable Service) and Occupational Pension Schemes (Investment and Disclosure) (Amendment and Modification) Regulations 2018</w:t>
      </w:r>
      <w:r w:rsidR="00E3162A">
        <w:rPr>
          <w:color w:val="000000" w:themeColor="text1"/>
        </w:rPr>
        <w:t xml:space="preserve"> and the subsequent amendment in </w:t>
      </w:r>
      <w:r w:rsidR="00E3162A">
        <w:rPr>
          <w:b/>
          <w:color w:val="000000" w:themeColor="text1"/>
        </w:rPr>
        <w:t>The Occupational Pension Schemes (Investment and Disclosure) (Amendment) Regulations 2019</w:t>
      </w:r>
      <w:r w:rsidR="00E3162A">
        <w:rPr>
          <w:color w:val="000000" w:themeColor="text1"/>
        </w:rPr>
        <w:t>.</w:t>
      </w:r>
    </w:p>
    <w:p w14:paraId="502701D1" w14:textId="692F5F7D" w:rsidR="4668BA8B" w:rsidRDefault="1AC3D08E" w:rsidP="00803A5E">
      <w:pPr>
        <w:spacing w:after="120" w:line="252" w:lineRule="auto"/>
        <w:ind w:right="-45"/>
        <w:rPr>
          <w:color w:val="000000" w:themeColor="text1"/>
        </w:rPr>
      </w:pPr>
      <w:r w:rsidRPr="1D4C956D">
        <w:rPr>
          <w:color w:val="000000" w:themeColor="text1"/>
        </w:rPr>
        <w:t>A copy of the most recent SIP can be found at</w:t>
      </w:r>
      <w:r w:rsidR="05DFB9F6" w:rsidRPr="1D4C956D">
        <w:rPr>
          <w:color w:val="000000" w:themeColor="text1"/>
        </w:rPr>
        <w:t>:</w:t>
      </w:r>
      <w:r w:rsidR="00803A5E">
        <w:rPr>
          <w:color w:val="000000" w:themeColor="text1"/>
        </w:rPr>
        <w:t xml:space="preserve"> </w:t>
      </w:r>
      <w:hyperlink r:id="rId11" w:history="1">
        <w:r w:rsidR="00213C8C" w:rsidRPr="004049B0">
          <w:rPr>
            <w:rStyle w:val="Hyperlink"/>
          </w:rPr>
          <w:t>https://rhndpensionscheme.pensions-directory.co.uk/</w:t>
        </w:r>
      </w:hyperlink>
      <w:r w:rsidR="00213C8C">
        <w:rPr>
          <w:color w:val="000000" w:themeColor="text1"/>
        </w:rPr>
        <w:t xml:space="preserve"> </w:t>
      </w:r>
    </w:p>
    <w:p w14:paraId="2AE46BE2" w14:textId="24F43278" w:rsidR="00B6730C" w:rsidRPr="00603D6D" w:rsidRDefault="00E644FD" w:rsidP="007C6D34">
      <w:pPr>
        <w:pStyle w:val="ListParagraph"/>
        <w:numPr>
          <w:ilvl w:val="0"/>
          <w:numId w:val="1"/>
        </w:numPr>
        <w:spacing w:line="252" w:lineRule="auto"/>
        <w:ind w:left="357" w:right="-45" w:hanging="357"/>
        <w:contextualSpacing w:val="0"/>
        <w:rPr>
          <w:b/>
          <w:bCs/>
        </w:rPr>
      </w:pPr>
      <w:r w:rsidRPr="007D015E">
        <w:rPr>
          <w:b/>
          <w:bCs/>
          <w:sz w:val="24"/>
          <w:szCs w:val="24"/>
        </w:rPr>
        <w:t>Investment Objectives</w:t>
      </w:r>
      <w:r w:rsidR="0065720E" w:rsidRPr="007D015E">
        <w:rPr>
          <w:b/>
          <w:bCs/>
          <w:sz w:val="24"/>
          <w:szCs w:val="24"/>
        </w:rPr>
        <w:t xml:space="preserve"> and activity</w:t>
      </w:r>
    </w:p>
    <w:p w14:paraId="6AFD37BF" w14:textId="3DC8E718" w:rsidR="0028559E" w:rsidRPr="00215AC5" w:rsidRDefault="0028559E" w:rsidP="00EB4169">
      <w:pPr>
        <w:spacing w:after="200" w:line="252" w:lineRule="auto"/>
        <w:ind w:right="-45"/>
      </w:pPr>
      <w:r w:rsidRPr="00215AC5">
        <w:t xml:space="preserve">The objective of the Scheme is to implement an investment strategy which, over the long term, meets the perceived needs of the membership, especially in light of the Freedom and Choice in pensions reforms. </w:t>
      </w:r>
    </w:p>
    <w:p w14:paraId="35BE82CE" w14:textId="481E0FA6" w:rsidR="00AF013B" w:rsidRDefault="00AF013B" w:rsidP="00EB4169">
      <w:pPr>
        <w:spacing w:after="200" w:line="252" w:lineRule="auto"/>
        <w:ind w:right="-46"/>
      </w:pPr>
      <w:r>
        <w:t xml:space="preserve">The Trustees recognise that their ultimate </w:t>
      </w:r>
      <w:r w:rsidR="00C701F9">
        <w:t>aim</w:t>
      </w:r>
      <w:r>
        <w:t xml:space="preserve"> is to help to ensure that members of the Scheme are able to retire on a reasonable level of pension taking into account the contributions paid into their individual accounts and the timescale over which those contributions were invested.  </w:t>
      </w:r>
      <w:r w:rsidR="008E1820" w:rsidRPr="00215AC5">
        <w:t>Recognising that individual members have different investment needs, the Trustee</w:t>
      </w:r>
      <w:r w:rsidR="008E1820">
        <w:t>s</w:t>
      </w:r>
      <w:r w:rsidR="008E1820" w:rsidRPr="00215AC5">
        <w:t xml:space="preserve"> ha</w:t>
      </w:r>
      <w:r w:rsidR="008E1820">
        <w:t>ve</w:t>
      </w:r>
      <w:r w:rsidR="008E1820" w:rsidRPr="00215AC5">
        <w:t xml:space="preserve"> put in place a default investment lifestyle and a range of investment options that </w:t>
      </w:r>
      <w:r w:rsidR="008E1820">
        <w:t>they</w:t>
      </w:r>
      <w:r w:rsidR="008E1820" w:rsidRPr="00215AC5">
        <w:t xml:space="preserve"> believe will achieve appropriate returns consistent with the level of risk chosen by the member.</w:t>
      </w:r>
    </w:p>
    <w:p w14:paraId="51940919" w14:textId="780D189D" w:rsidR="00843886" w:rsidRDefault="00DA7CE6" w:rsidP="00EB4169">
      <w:pPr>
        <w:spacing w:after="200" w:line="252" w:lineRule="auto"/>
        <w:ind w:right="-46"/>
      </w:pPr>
      <w:r w:rsidRPr="00215AC5">
        <w:t>The Trustee</w:t>
      </w:r>
      <w:r>
        <w:t>s</w:t>
      </w:r>
      <w:r w:rsidRPr="00215AC5">
        <w:t xml:space="preserve"> </w:t>
      </w:r>
      <w:r>
        <w:t>are</w:t>
      </w:r>
      <w:r w:rsidRPr="00215AC5">
        <w:t xml:space="preserve"> required to formally review the default investment strategy at least every three years or immediately following any significant change in investment policy or the Scheme’s member profile. </w:t>
      </w:r>
      <w:r w:rsidR="00DC10B6" w:rsidRPr="00215AC5">
        <w:t>When investing in, or changing, any funds/managers, the Trustee</w:t>
      </w:r>
      <w:r w:rsidR="00B830C6">
        <w:t>s</w:t>
      </w:r>
      <w:r w:rsidR="00DC10B6" w:rsidRPr="00215AC5">
        <w:t xml:space="preserve"> obtain formal investment advice in order to fulfil its legal duties.</w:t>
      </w:r>
    </w:p>
    <w:p w14:paraId="13541922" w14:textId="07F0A9D8" w:rsidR="00E644FD" w:rsidRPr="008F66B6" w:rsidRDefault="00C95789" w:rsidP="00EB4169">
      <w:pPr>
        <w:spacing w:after="200" w:line="252" w:lineRule="auto"/>
        <w:ind w:right="-45"/>
      </w:pPr>
      <w:r>
        <w:t>T</w:t>
      </w:r>
      <w:r w:rsidR="00714741" w:rsidRPr="00622A94">
        <w:t xml:space="preserve">he Trustees </w:t>
      </w:r>
      <w:r w:rsidR="00AF013B" w:rsidRPr="00622A94">
        <w:t>implemented a transfer of</w:t>
      </w:r>
      <w:r w:rsidR="00703E5E" w:rsidRPr="00622A94">
        <w:t xml:space="preserve"> member</w:t>
      </w:r>
      <w:r w:rsidR="00AF013B" w:rsidRPr="00622A94">
        <w:t xml:space="preserve"> assets </w:t>
      </w:r>
      <w:r w:rsidR="00703E5E" w:rsidRPr="00622A94">
        <w:t xml:space="preserve">to a master trust arrangement </w:t>
      </w:r>
      <w:r w:rsidR="00AF013B" w:rsidRPr="00622A94">
        <w:t>for the majority of members</w:t>
      </w:r>
      <w:r w:rsidR="00703E5E" w:rsidRPr="00622A94">
        <w:t>,</w:t>
      </w:r>
      <w:r w:rsidR="00AF013B" w:rsidRPr="00622A94">
        <w:t xml:space="preserve"> </w:t>
      </w:r>
      <w:r w:rsidR="00703E5E" w:rsidRPr="00622A94">
        <w:t xml:space="preserve">however a small number of members </w:t>
      </w:r>
      <w:r w:rsidR="00451538">
        <w:t>o</w:t>
      </w:r>
      <w:r w:rsidR="00703E5E" w:rsidRPr="00622A94">
        <w:t>ver retirement age remain</w:t>
      </w:r>
      <w:r w:rsidR="00641464" w:rsidRPr="00622A94">
        <w:t xml:space="preserve"> in the Scheme</w:t>
      </w:r>
      <w:r w:rsidR="00703E5E" w:rsidRPr="00622A94">
        <w:t>. The Trustees are investigating ways to further encourage these members to transfer their assets to a more appropriate investment vehicle.</w:t>
      </w:r>
    </w:p>
    <w:p w14:paraId="19A7D44B" w14:textId="6D54309A" w:rsidR="00714741" w:rsidRDefault="00EE7733" w:rsidP="00EB4169">
      <w:pPr>
        <w:spacing w:after="200" w:line="252" w:lineRule="auto"/>
        <w:ind w:right="-45"/>
      </w:pPr>
      <w:r w:rsidRPr="00387957">
        <w:t xml:space="preserve">The </w:t>
      </w:r>
      <w:r w:rsidR="00A37765" w:rsidRPr="00387957">
        <w:t xml:space="preserve">SIP </w:t>
      </w:r>
      <w:r w:rsidR="00700F8E" w:rsidRPr="00187F81">
        <w:t>incorpora</w:t>
      </w:r>
      <w:r w:rsidR="00C07C34">
        <w:t>tes</w:t>
      </w:r>
      <w:r w:rsidR="000F5650">
        <w:t xml:space="preserve"> </w:t>
      </w:r>
      <w:r w:rsidR="00700F8E" w:rsidRPr="00187F81">
        <w:t>the Trustees</w:t>
      </w:r>
      <w:r w:rsidR="00700F8E">
        <w:t>’</w:t>
      </w:r>
      <w:r w:rsidR="00700F8E" w:rsidRPr="00187F81">
        <w:t xml:space="preserve"> policy on Environmental, Social and Governance (“ESG”) factors, </w:t>
      </w:r>
      <w:r w:rsidR="00EF6132" w:rsidRPr="00187F81">
        <w:t>stewardship,</w:t>
      </w:r>
      <w:r w:rsidR="00700F8E" w:rsidRPr="00187F81">
        <w:t xml:space="preserve"> and climate change, as required under </w:t>
      </w:r>
      <w:r w:rsidR="00703E5E">
        <w:t xml:space="preserve">disclosure </w:t>
      </w:r>
      <w:r w:rsidR="00700F8E" w:rsidRPr="00187F81">
        <w:t>regulations.</w:t>
      </w:r>
    </w:p>
    <w:p w14:paraId="0F07D9E7" w14:textId="0984664E" w:rsidR="00D6512F" w:rsidRPr="00215AC5" w:rsidRDefault="00D6512F" w:rsidP="00EB4169">
      <w:pPr>
        <w:spacing w:after="200" w:line="252" w:lineRule="auto"/>
        <w:ind w:right="-45"/>
      </w:pPr>
      <w:r w:rsidRPr="00215AC5">
        <w:t xml:space="preserve">The overall investment objectives and investment strategy remained the same during the period. </w:t>
      </w:r>
    </w:p>
    <w:p w14:paraId="3B3F1B61" w14:textId="1D42BF13" w:rsidR="00D6512F" w:rsidRPr="00215AC5" w:rsidRDefault="00D6512F" w:rsidP="00EB4169">
      <w:pPr>
        <w:spacing w:after="200" w:line="252" w:lineRule="auto"/>
        <w:ind w:right="-45"/>
      </w:pPr>
      <w:r w:rsidRPr="00215AC5">
        <w:lastRenderedPageBreak/>
        <w:t>In terms of the balance between different investments, the Trustee</w:t>
      </w:r>
      <w:r w:rsidR="0018641C">
        <w:t>s</w:t>
      </w:r>
      <w:r w:rsidRPr="00215AC5">
        <w:t xml:space="preserve"> ha</w:t>
      </w:r>
      <w:r w:rsidR="0018641C">
        <w:t>ve</w:t>
      </w:r>
      <w:r w:rsidRPr="00215AC5">
        <w:t xml:space="preserve"> constructed a default lifestyle strategy</w:t>
      </w:r>
      <w:r w:rsidR="00437D07">
        <w:t xml:space="preserve"> that</w:t>
      </w:r>
      <w:r w:rsidRPr="00215AC5">
        <w:t xml:space="preserve"> diversifies risk for members across asset classes and over time, predominantly using a diversified growth fund</w:t>
      </w:r>
      <w:r>
        <w:t>,</w:t>
      </w:r>
      <w:r w:rsidRPr="00215AC5">
        <w:t xml:space="preserve"> fixed income investments</w:t>
      </w:r>
      <w:r>
        <w:t xml:space="preserve"> and a cash fund</w:t>
      </w:r>
      <w:r w:rsidRPr="00215AC5">
        <w:t>. The risk and return characteristics of these investments are designed to change over time to accommodate members’ reduced appetite for risk towards retirement age</w:t>
      </w:r>
      <w:r w:rsidR="00EF6132" w:rsidRPr="00215AC5">
        <w:t xml:space="preserve">. </w:t>
      </w:r>
    </w:p>
    <w:p w14:paraId="7F0A355F" w14:textId="237389D9" w:rsidR="00D6512F" w:rsidRDefault="00D6512F" w:rsidP="00B22FA0">
      <w:pPr>
        <w:spacing w:after="240" w:line="252" w:lineRule="auto"/>
        <w:ind w:right="-45"/>
      </w:pPr>
      <w:r w:rsidRPr="00215AC5">
        <w:t xml:space="preserve">The approach taken towards the measuring and monitoring of other risks is laid out in the SIP and includes the use of pooled investment funds at </w:t>
      </w:r>
      <w:r>
        <w:t xml:space="preserve">the </w:t>
      </w:r>
      <w:r w:rsidRPr="00215AC5">
        <w:t xml:space="preserve">dedicated investment manager, </w:t>
      </w:r>
      <w:r>
        <w:t>and</w:t>
      </w:r>
      <w:r w:rsidRPr="00215AC5">
        <w:t xml:space="preserve"> professional custodianship</w:t>
      </w:r>
      <w:r>
        <w:t>.</w:t>
      </w:r>
      <w:r w:rsidRPr="00215AC5">
        <w:t xml:space="preserve"> </w:t>
      </w:r>
      <w:r>
        <w:t>A</w:t>
      </w:r>
      <w:r w:rsidRPr="00215AC5">
        <w:t>ctive investment is used only where justified (mainly in the diversified growth fund</w:t>
      </w:r>
      <w:r w:rsidR="00ED65FF">
        <w:t>).</w:t>
      </w:r>
    </w:p>
    <w:p w14:paraId="57218399" w14:textId="27290B4C" w:rsidR="0099337D" w:rsidRPr="007D015E" w:rsidRDefault="005478E7" w:rsidP="00EB4169">
      <w:pPr>
        <w:pStyle w:val="ListParagraph"/>
        <w:numPr>
          <w:ilvl w:val="0"/>
          <w:numId w:val="1"/>
        </w:numPr>
        <w:spacing w:line="252" w:lineRule="auto"/>
        <w:ind w:left="357" w:right="-45" w:hanging="357"/>
        <w:contextualSpacing w:val="0"/>
        <w:rPr>
          <w:b/>
          <w:bCs/>
          <w:sz w:val="24"/>
          <w:szCs w:val="24"/>
        </w:rPr>
      </w:pPr>
      <w:r w:rsidRPr="005478E7">
        <w:rPr>
          <w:b/>
          <w:bCs/>
          <w:sz w:val="24"/>
          <w:szCs w:val="24"/>
        </w:rPr>
        <w:t xml:space="preserve">Asset Manager Monitoring </w:t>
      </w:r>
      <w:r w:rsidR="00381BDF" w:rsidRPr="007D015E">
        <w:rPr>
          <w:b/>
          <w:bCs/>
          <w:sz w:val="24"/>
          <w:szCs w:val="24"/>
        </w:rPr>
        <w:t>ESG, Stewardship and Climate Change</w:t>
      </w:r>
    </w:p>
    <w:p w14:paraId="49719DAF" w14:textId="3FCC8495" w:rsidR="008917F4" w:rsidRDefault="008917F4" w:rsidP="00EB4169">
      <w:pPr>
        <w:spacing w:after="200" w:line="252" w:lineRule="auto"/>
        <w:ind w:right="-45"/>
      </w:pPr>
      <w:r>
        <w:t xml:space="preserve">The Scheme’s SIP includes policies on the monitoring of the underlying asset manager, including the Trustees’ policy on ESG factors, </w:t>
      </w:r>
      <w:r w:rsidR="00EF6132">
        <w:t>stewardship,</w:t>
      </w:r>
      <w:r>
        <w:t xml:space="preserve"> and climate change. This policy sets out the Trustees’ beliefs in these areas and the processes followed by the Trustees in relation to voting rights and stewardship.</w:t>
      </w:r>
    </w:p>
    <w:p w14:paraId="26BB2D59" w14:textId="7F90D904" w:rsidR="008917F4" w:rsidRDefault="008917F4" w:rsidP="00EB4169">
      <w:pPr>
        <w:spacing w:after="200" w:line="252" w:lineRule="auto"/>
        <w:ind w:right="-45"/>
      </w:pPr>
      <w:r>
        <w:t>The Scheme’s single investment platform provider is Legal &amp; General Investment Management (LGIM) with which the Trustees have a rolling contract which will be reviewed in line with the overall investment strategy. The Trustee</w:t>
      </w:r>
      <w:r w:rsidR="00D45BCC">
        <w:t>s</w:t>
      </w:r>
      <w:r>
        <w:t xml:space="preserve"> </w:t>
      </w:r>
      <w:r w:rsidR="00D45BCC">
        <w:t>t</w:t>
      </w:r>
      <w:r>
        <w:t>ake advantage of the manager research capabilities of its investment advisers to ensure that the performance objectives of the manager remain consistent with the roles it carries out within the investment strategy.</w:t>
      </w:r>
    </w:p>
    <w:p w14:paraId="75C782F3" w14:textId="00EE6A43" w:rsidR="008917F4" w:rsidRPr="004510E2" w:rsidRDefault="008917F4" w:rsidP="00EB4169">
      <w:pPr>
        <w:spacing w:after="200" w:line="252" w:lineRule="auto"/>
        <w:ind w:right="-45"/>
      </w:pPr>
      <w:r>
        <w:t>Likewise</w:t>
      </w:r>
      <w:r w:rsidR="00760619">
        <w:t>,</w:t>
      </w:r>
      <w:r>
        <w:t xml:space="preserve"> the Trustee</w:t>
      </w:r>
      <w:r w:rsidR="00D45BCC">
        <w:t>s</w:t>
      </w:r>
      <w:r>
        <w:t xml:space="preserve"> use </w:t>
      </w:r>
      <w:r w:rsidR="00D45BCC">
        <w:t>their</w:t>
      </w:r>
      <w:r>
        <w:t xml:space="preserve"> investment advisers to monitor the appropriateness of the remuneration and incentives offered to the manager’s key personnel, as well as how they are incentivised to invest and engage in a medium-to-long-term manner with the Trustees</w:t>
      </w:r>
      <w:r w:rsidR="00970DE7">
        <w:t>’</w:t>
      </w:r>
      <w:r>
        <w:t xml:space="preserve"> investments. In addition</w:t>
      </w:r>
      <w:r w:rsidR="00760619">
        <w:t>,</w:t>
      </w:r>
      <w:r>
        <w:t xml:space="preserve"> the Trustee</w:t>
      </w:r>
      <w:r w:rsidR="00970DE7">
        <w:t>s</w:t>
      </w:r>
      <w:r>
        <w:t xml:space="preserve"> monitor the cost-effective realisation of investments, transaction costs and value for money offered by the manager via </w:t>
      </w:r>
      <w:r w:rsidR="00970DE7">
        <w:t>their</w:t>
      </w:r>
      <w:r>
        <w:t xml:space="preserve"> annual Chair’s Statement, and encourages </w:t>
      </w:r>
      <w:r w:rsidR="00970DE7">
        <w:t>their</w:t>
      </w:r>
      <w:r>
        <w:t xml:space="preserve"> </w:t>
      </w:r>
      <w:r w:rsidRPr="004510E2">
        <w:t>manager to use the Cost Transparency Initiative template in order to make these costs clearer.</w:t>
      </w:r>
    </w:p>
    <w:p w14:paraId="79915F6E" w14:textId="7E770CA8" w:rsidR="0043687D" w:rsidRDefault="00703E5E" w:rsidP="00EB4169">
      <w:pPr>
        <w:spacing w:after="240" w:line="252" w:lineRule="auto"/>
        <w:ind w:right="-45"/>
      </w:pPr>
      <w:r w:rsidRPr="004510E2">
        <w:t>Should the Scheme remain in existence</w:t>
      </w:r>
      <w:r w:rsidR="00641464" w:rsidRPr="004510E2">
        <w:t xml:space="preserve"> in the medium term</w:t>
      </w:r>
      <w:r w:rsidRPr="004510E2">
        <w:t>, t</w:t>
      </w:r>
      <w:r w:rsidR="0043687D" w:rsidRPr="004510E2">
        <w:t>he Trustees</w:t>
      </w:r>
      <w:r w:rsidR="00641464" w:rsidRPr="004510E2">
        <w:t xml:space="preserve"> would</w:t>
      </w:r>
      <w:r w:rsidRPr="004510E2">
        <w:t xml:space="preserve"> </w:t>
      </w:r>
      <w:r w:rsidR="00BB13CA" w:rsidRPr="004510E2">
        <w:t xml:space="preserve">look to </w:t>
      </w:r>
      <w:r w:rsidR="0043687D" w:rsidRPr="004510E2">
        <w:t xml:space="preserve">discuss </w:t>
      </w:r>
      <w:r w:rsidR="00E96244" w:rsidRPr="004510E2">
        <w:t xml:space="preserve">the ESG and stewardship </w:t>
      </w:r>
      <w:r w:rsidR="00F6205A" w:rsidRPr="004510E2">
        <w:t>processe</w:t>
      </w:r>
      <w:r w:rsidR="00E96244" w:rsidRPr="004510E2">
        <w:t>s</w:t>
      </w:r>
      <w:r w:rsidR="00F6205A" w:rsidRPr="004510E2">
        <w:t xml:space="preserve"> of their manager on an annual basis</w:t>
      </w:r>
      <w:r w:rsidR="007E3470" w:rsidRPr="004510E2">
        <w:t xml:space="preserve"> and w</w:t>
      </w:r>
      <w:r w:rsidR="00641464" w:rsidRPr="004510E2">
        <w:t xml:space="preserve">ould </w:t>
      </w:r>
      <w:r w:rsidR="004C328D" w:rsidRPr="004510E2">
        <w:t>review these</w:t>
      </w:r>
      <w:r w:rsidR="007E3470" w:rsidRPr="004510E2">
        <w:t xml:space="preserve"> </w:t>
      </w:r>
      <w:r w:rsidR="00700F8E" w:rsidRPr="004510E2">
        <w:t xml:space="preserve">policies </w:t>
      </w:r>
      <w:r w:rsidR="007E3470" w:rsidRPr="004510E2">
        <w:t xml:space="preserve">further </w:t>
      </w:r>
      <w:r w:rsidR="00641464" w:rsidRPr="004510E2">
        <w:t>over</w:t>
      </w:r>
      <w:r w:rsidR="007E3470" w:rsidRPr="004510E2">
        <w:t xml:space="preserve"> the Scheme year.</w:t>
      </w:r>
    </w:p>
    <w:p w14:paraId="6B14DCC6" w14:textId="114883DF" w:rsidR="00C56A75" w:rsidRPr="004B1858" w:rsidRDefault="00C56A75" w:rsidP="007C6D34">
      <w:pPr>
        <w:pStyle w:val="ListParagraph"/>
        <w:numPr>
          <w:ilvl w:val="0"/>
          <w:numId w:val="1"/>
        </w:numPr>
        <w:spacing w:line="252" w:lineRule="auto"/>
        <w:ind w:left="357" w:right="-45" w:hanging="357"/>
        <w:contextualSpacing w:val="0"/>
        <w:rPr>
          <w:b/>
          <w:bCs/>
          <w:sz w:val="24"/>
          <w:szCs w:val="24"/>
        </w:rPr>
      </w:pPr>
      <w:r w:rsidRPr="004B1858">
        <w:rPr>
          <w:b/>
          <w:bCs/>
          <w:sz w:val="24"/>
          <w:szCs w:val="24"/>
        </w:rPr>
        <w:t>Voting and Engagement</w:t>
      </w:r>
      <w:r w:rsidR="004B1858" w:rsidRPr="004B1858">
        <w:rPr>
          <w:b/>
          <w:bCs/>
          <w:sz w:val="24"/>
          <w:szCs w:val="24"/>
        </w:rPr>
        <w:t xml:space="preserve"> </w:t>
      </w:r>
    </w:p>
    <w:p w14:paraId="3D0D0A93" w14:textId="10354506" w:rsidR="00AD6718" w:rsidRDefault="00AD6718" w:rsidP="00EB4169">
      <w:pPr>
        <w:spacing w:after="200" w:line="252" w:lineRule="auto"/>
        <w:ind w:right="-45"/>
      </w:pPr>
      <w:r w:rsidRPr="00AD6718">
        <w:t xml:space="preserve">The Trustees are keen that their manager </w:t>
      </w:r>
      <w:r w:rsidR="006476DA">
        <w:t>is a</w:t>
      </w:r>
      <w:r w:rsidRPr="00AD6718">
        <w:t xml:space="preserve"> signator</w:t>
      </w:r>
      <w:r w:rsidR="006476DA">
        <w:t>y</w:t>
      </w:r>
      <w:r w:rsidRPr="00AD6718">
        <w:t xml:space="preserve"> of the UK Stewardship Code, </w:t>
      </w:r>
      <w:r w:rsidR="006476DA">
        <w:t>which is currently the case.</w:t>
      </w:r>
    </w:p>
    <w:p w14:paraId="33481162" w14:textId="706BD672" w:rsidR="00BA268D" w:rsidRDefault="00BA268D" w:rsidP="00EB4169">
      <w:pPr>
        <w:spacing w:after="200" w:line="252" w:lineRule="auto"/>
        <w:ind w:right="-45"/>
      </w:pPr>
      <w:r w:rsidRPr="00BA268D">
        <w:t>All of the Trustees</w:t>
      </w:r>
      <w:r>
        <w:t>’</w:t>
      </w:r>
      <w:r w:rsidRPr="00BA268D">
        <w:t xml:space="preserve"> holdings are within pooled funds held via the LGIM platform and the Trustee</w:t>
      </w:r>
      <w:r>
        <w:t>s</w:t>
      </w:r>
      <w:r w:rsidRPr="00BA268D">
        <w:t xml:space="preserve"> </w:t>
      </w:r>
      <w:r>
        <w:t>have</w:t>
      </w:r>
      <w:r w:rsidRPr="00BA268D">
        <w:t xml:space="preserve"> delegated to </w:t>
      </w:r>
      <w:r w:rsidR="00216AB1">
        <w:t xml:space="preserve">their </w:t>
      </w:r>
      <w:r w:rsidRPr="00BA268D">
        <w:t>investment manager the exercise of voting rights. Therefore, the Trustee</w:t>
      </w:r>
      <w:r w:rsidR="00216AB1">
        <w:t>s</w:t>
      </w:r>
      <w:r w:rsidRPr="00BA268D">
        <w:t xml:space="preserve"> </w:t>
      </w:r>
      <w:r w:rsidR="00216AB1">
        <w:t>are</w:t>
      </w:r>
      <w:r w:rsidRPr="00BA268D">
        <w:t xml:space="preserve"> not able to direct how votes are exercised and the Trustee</w:t>
      </w:r>
      <w:r w:rsidR="00216AB1">
        <w:t>s</w:t>
      </w:r>
      <w:r w:rsidRPr="00BA268D">
        <w:t xml:space="preserve"> ha</w:t>
      </w:r>
      <w:r w:rsidR="00216AB1">
        <w:t>ve</w:t>
      </w:r>
      <w:r w:rsidRPr="00BA268D">
        <w:t xml:space="preserve"> not used direct proxy voting services over the year.</w:t>
      </w:r>
    </w:p>
    <w:p w14:paraId="5970F302" w14:textId="1C1D1CFD" w:rsidR="00C1679E" w:rsidRPr="00DB1A60" w:rsidRDefault="008C30BF" w:rsidP="002650F4">
      <w:pPr>
        <w:spacing w:after="100" w:line="252" w:lineRule="auto"/>
        <w:ind w:right="-45"/>
      </w:pPr>
      <w:r>
        <w:t>The Scheme’s funds</w:t>
      </w:r>
      <w:r w:rsidR="00F6205A">
        <w:t xml:space="preserve"> for investments held at retirement in the default investment strategy are</w:t>
      </w:r>
      <w:r w:rsidR="009A2526">
        <w:t>:</w:t>
      </w:r>
    </w:p>
    <w:p w14:paraId="05594935" w14:textId="1709D746" w:rsidR="0074788B" w:rsidRPr="0068796A" w:rsidRDefault="00CF29A6" w:rsidP="008D4D09">
      <w:pPr>
        <w:pStyle w:val="ListParagraph"/>
        <w:numPr>
          <w:ilvl w:val="0"/>
          <w:numId w:val="2"/>
        </w:numPr>
        <w:spacing w:line="252" w:lineRule="auto"/>
        <w:ind w:right="-45"/>
      </w:pPr>
      <w:r w:rsidRPr="0068796A">
        <w:t xml:space="preserve">L&amp;G Diversified Fund </w:t>
      </w:r>
    </w:p>
    <w:p w14:paraId="6F945F16" w14:textId="2A0BCFC3" w:rsidR="00DB1A60" w:rsidRPr="0068796A" w:rsidRDefault="00DB1A60" w:rsidP="008D4D09">
      <w:pPr>
        <w:pStyle w:val="ListParagraph"/>
        <w:numPr>
          <w:ilvl w:val="0"/>
          <w:numId w:val="2"/>
        </w:numPr>
        <w:spacing w:line="252" w:lineRule="auto"/>
        <w:ind w:right="-45"/>
        <w:rPr>
          <w:u w:val="single"/>
        </w:rPr>
      </w:pPr>
      <w:r w:rsidRPr="0068796A">
        <w:rPr>
          <w:u w:val="single"/>
        </w:rPr>
        <w:t>L&amp;G Pre-Retirement Fund</w:t>
      </w:r>
    </w:p>
    <w:p w14:paraId="508F4F8F" w14:textId="77777777" w:rsidR="007D21F8" w:rsidRPr="0068796A" w:rsidRDefault="00DB1A60" w:rsidP="002650F4">
      <w:pPr>
        <w:pStyle w:val="ListParagraph"/>
        <w:numPr>
          <w:ilvl w:val="0"/>
          <w:numId w:val="2"/>
        </w:numPr>
        <w:spacing w:after="200" w:line="252" w:lineRule="auto"/>
        <w:ind w:left="714" w:right="-45" w:hanging="357"/>
        <w:contextualSpacing w:val="0"/>
        <w:rPr>
          <w:u w:val="single"/>
        </w:rPr>
      </w:pPr>
      <w:r w:rsidRPr="0068796A">
        <w:rPr>
          <w:u w:val="single"/>
        </w:rPr>
        <w:t>L&amp;G Cash Fund</w:t>
      </w:r>
    </w:p>
    <w:p w14:paraId="1B156678" w14:textId="0EFDF524" w:rsidR="00803A5E" w:rsidRDefault="007D21F8" w:rsidP="007D21F8">
      <w:pPr>
        <w:spacing w:after="300" w:line="252" w:lineRule="auto"/>
        <w:ind w:left="360" w:right="-45"/>
      </w:pPr>
      <w:r w:rsidRPr="00C55201">
        <w:t xml:space="preserve">The </w:t>
      </w:r>
      <w:r>
        <w:t>Trustees</w:t>
      </w:r>
      <w:r w:rsidRPr="00C55201">
        <w:t xml:space="preserve"> w</w:t>
      </w:r>
      <w:r>
        <w:t>ere</w:t>
      </w:r>
      <w:r w:rsidRPr="00C55201">
        <w:t xml:space="preserve"> unable to include voting data for </w:t>
      </w:r>
      <w:r>
        <w:t xml:space="preserve">the underlined funds as they do not </w:t>
      </w:r>
      <w:r w:rsidRPr="00C55201">
        <w:t>hold physical equities.</w:t>
      </w:r>
      <w:r>
        <w:t xml:space="preserve"> </w:t>
      </w:r>
    </w:p>
    <w:p w14:paraId="136EFF4C" w14:textId="77777777" w:rsidR="005C3C2C" w:rsidRPr="000D12B2" w:rsidRDefault="005C3C2C" w:rsidP="007D21F8">
      <w:pPr>
        <w:spacing w:after="300" w:line="252" w:lineRule="auto"/>
        <w:ind w:left="360" w:right="-45"/>
      </w:pPr>
    </w:p>
    <w:p w14:paraId="5CECF2FD" w14:textId="11FCC17E" w:rsidR="003C74D4" w:rsidRPr="00EB4169" w:rsidRDefault="003C74D4" w:rsidP="00EB4169">
      <w:pPr>
        <w:pStyle w:val="ListParagraph"/>
        <w:numPr>
          <w:ilvl w:val="1"/>
          <w:numId w:val="3"/>
        </w:numPr>
        <w:spacing w:line="252" w:lineRule="auto"/>
        <w:ind w:left="284" w:right="-45" w:hanging="284"/>
        <w:contextualSpacing w:val="0"/>
        <w:rPr>
          <w:b/>
          <w:bCs/>
          <w:sz w:val="24"/>
          <w:szCs w:val="24"/>
        </w:rPr>
      </w:pPr>
      <w:r w:rsidRPr="00EB4169">
        <w:rPr>
          <w:b/>
          <w:bCs/>
          <w:sz w:val="24"/>
          <w:szCs w:val="24"/>
        </w:rPr>
        <w:lastRenderedPageBreak/>
        <w:t>Description of Legal &amp; General’s voting processes</w:t>
      </w:r>
    </w:p>
    <w:p w14:paraId="7F5C929E" w14:textId="064F992B" w:rsidR="00FF1734" w:rsidRDefault="00FF1734" w:rsidP="00EB4169">
      <w:pPr>
        <w:spacing w:after="200" w:line="252" w:lineRule="auto"/>
        <w:ind w:right="-45"/>
      </w:pPr>
      <w:r>
        <w:t>L&amp;G use</w:t>
      </w:r>
      <w:r w:rsidR="00641464">
        <w:t xml:space="preserve"> the</w:t>
      </w:r>
      <w:r>
        <w:t xml:space="preserve"> Institutional Shareholder Services’ (</w:t>
      </w:r>
      <w:r w:rsidR="00641464">
        <w:t>“</w:t>
      </w:r>
      <w:r>
        <w:t>ISS</w:t>
      </w:r>
      <w:r w:rsidR="00641464">
        <w:t>”</w:t>
      </w:r>
      <w:r>
        <w:t xml:space="preserve">) ‘ProxyExchange’ electronic voting platforms to electronically vote clients’ shares. All voting decisions are made by L&amp;G and they do not outsource any part of the strategic decisions. L&amp;G’s use of ISS recommendations is purely to augment their own research and proprietary ESG assessment tools. </w:t>
      </w:r>
    </w:p>
    <w:p w14:paraId="707B74DB" w14:textId="77777777" w:rsidR="00E63D87" w:rsidRDefault="00FF1734" w:rsidP="00EB4169">
      <w:pPr>
        <w:spacing w:after="200" w:line="252" w:lineRule="auto"/>
        <w:ind w:right="-45"/>
      </w:pPr>
      <w:r>
        <w:t>To ensure their proxy provider votes in accordance with their position on ESG, L&amp;G have put in place a minimum standards custom voting policy with specific voting instructions. These instructions apply to all markets globally and seek to uphold what they consider are minimum best practice standards which L&amp;G believe all companies globally should observe, irrespective of local regulation or practice.</w:t>
      </w:r>
    </w:p>
    <w:p w14:paraId="1D71C10B" w14:textId="42F29CF0" w:rsidR="00FF1734" w:rsidRDefault="00FF1734" w:rsidP="00EB4169">
      <w:pPr>
        <w:spacing w:after="200" w:line="252" w:lineRule="auto"/>
        <w:ind w:right="-45"/>
      </w:pPr>
      <w:r>
        <w:t xml:space="preserve">In 2018, L&amp;G updated their Global Principles document which sets out minimum standards for governance across all companies globally. </w:t>
      </w:r>
    </w:p>
    <w:p w14:paraId="30079066" w14:textId="77777777" w:rsidR="00FF1734" w:rsidRDefault="00FF1734" w:rsidP="00EB4169">
      <w:pPr>
        <w:spacing w:after="200" w:line="252" w:lineRule="auto"/>
        <w:ind w:right="-45"/>
      </w:pPr>
      <w:r>
        <w:t>In addition, L&amp;G have also set specific custom voting policies at an individual market level for those markets in which they adopt a stricter stance. All of L&amp;G’s custom voting policies are developed in accordance with their publicly disclosed position on ESG in L&amp;G’s Principles document and country specific policies.</w:t>
      </w:r>
    </w:p>
    <w:p w14:paraId="2D3B64E2" w14:textId="4754DA8C" w:rsidR="00FF1734" w:rsidRDefault="00FF1734" w:rsidP="00EB4169">
      <w:pPr>
        <w:spacing w:after="200" w:line="252" w:lineRule="auto"/>
        <w:ind w:right="-45"/>
      </w:pPr>
      <w:r>
        <w:t>L&amp;G retain the ability in all markets to override any vot</w:t>
      </w:r>
      <w:r w:rsidR="00641464">
        <w:t>ing</w:t>
      </w:r>
      <w:r>
        <w:t xml:space="preserve"> decisions, which are based on their custom voting policy. This may happen where engagement with a specific company has provided additional information (for example from direct engagement, or explanation in the annual report) that allows L&amp;G to apply a qualitative overlay to their voting judgement. </w:t>
      </w:r>
    </w:p>
    <w:p w14:paraId="4B510123" w14:textId="22FAAD50" w:rsidR="002F2F31" w:rsidRDefault="00FF1734" w:rsidP="00EB4169">
      <w:pPr>
        <w:spacing w:after="240" w:line="252" w:lineRule="auto"/>
        <w:ind w:right="-45"/>
      </w:pPr>
      <w:r>
        <w:t>L&amp;G ha</w:t>
      </w:r>
      <w:r w:rsidR="00A51262">
        <w:t>ve</w:t>
      </w:r>
      <w:r>
        <w:t xml:space="preserve"> strict monitoring controls to ensure its votes are fully and effectively executed in accordance with their voting policies by their service provider. This includes a regular manual check of the votes input into the platform, and an electronic alert service to inform them of rejected votes which require further action.</w:t>
      </w:r>
    </w:p>
    <w:p w14:paraId="00522828" w14:textId="77777777" w:rsidR="007944B7" w:rsidRPr="00F507DE" w:rsidRDefault="007944B7" w:rsidP="007C6D34">
      <w:pPr>
        <w:pStyle w:val="ListParagraph"/>
        <w:numPr>
          <w:ilvl w:val="1"/>
          <w:numId w:val="3"/>
        </w:numPr>
        <w:spacing w:line="264" w:lineRule="auto"/>
        <w:ind w:left="284" w:right="-45" w:hanging="284"/>
        <w:contextualSpacing w:val="0"/>
        <w:rPr>
          <w:b/>
          <w:bCs/>
          <w:sz w:val="24"/>
          <w:szCs w:val="24"/>
        </w:rPr>
      </w:pPr>
      <w:r w:rsidRPr="00F507DE">
        <w:rPr>
          <w:b/>
          <w:bCs/>
          <w:sz w:val="24"/>
          <w:szCs w:val="24"/>
        </w:rPr>
        <w:t>Summary of voting behaviour over the year</w:t>
      </w:r>
    </w:p>
    <w:p w14:paraId="6ADB4791" w14:textId="7574218E" w:rsidR="007944B7" w:rsidRDefault="007944B7" w:rsidP="00FD4C65">
      <w:pPr>
        <w:spacing w:after="200" w:line="264" w:lineRule="auto"/>
        <w:ind w:right="-46"/>
      </w:pPr>
      <w:r>
        <w:t>A summary of voting behaviour over the period is provided in the table below</w:t>
      </w:r>
      <w:r w:rsidR="00FE3F54">
        <w:t>:</w:t>
      </w:r>
    </w:p>
    <w:tbl>
      <w:tblPr>
        <w:tblStyle w:val="TableGrid"/>
        <w:tblW w:w="9067" w:type="dxa"/>
        <w:tblLook w:val="04A0" w:firstRow="1" w:lastRow="0" w:firstColumn="1" w:lastColumn="0" w:noHBand="0" w:noVBand="1"/>
      </w:tblPr>
      <w:tblGrid>
        <w:gridCol w:w="5807"/>
        <w:gridCol w:w="3260"/>
      </w:tblGrid>
      <w:tr w:rsidR="00556ED5" w14:paraId="53D08909" w14:textId="77777777" w:rsidTr="5BEACF45">
        <w:trPr>
          <w:trHeight w:val="242"/>
        </w:trPr>
        <w:tc>
          <w:tcPr>
            <w:tcW w:w="5807" w:type="dxa"/>
            <w:shd w:val="clear" w:color="auto" w:fill="02083C"/>
          </w:tcPr>
          <w:p w14:paraId="5C9C7DF4" w14:textId="77777777" w:rsidR="00556ED5" w:rsidRDefault="00556ED5" w:rsidP="00FD4C65">
            <w:pPr>
              <w:ind w:right="-46"/>
            </w:pPr>
          </w:p>
        </w:tc>
        <w:tc>
          <w:tcPr>
            <w:tcW w:w="3260" w:type="dxa"/>
            <w:shd w:val="clear" w:color="auto" w:fill="02083C"/>
          </w:tcPr>
          <w:p w14:paraId="7A98D281" w14:textId="77777777" w:rsidR="00556ED5" w:rsidRPr="009D3A01" w:rsidRDefault="00556ED5" w:rsidP="00FD4C65">
            <w:pPr>
              <w:ind w:right="-46"/>
              <w:jc w:val="center"/>
              <w:rPr>
                <w:b/>
                <w:bCs/>
              </w:rPr>
            </w:pPr>
            <w:r w:rsidRPr="009D3A01">
              <w:rPr>
                <w:b/>
                <w:bCs/>
              </w:rPr>
              <w:t>Summary Info</w:t>
            </w:r>
          </w:p>
        </w:tc>
      </w:tr>
      <w:tr w:rsidR="00556ED5" w14:paraId="012AED37" w14:textId="77777777" w:rsidTr="5BEACF45">
        <w:trPr>
          <w:trHeight w:val="228"/>
        </w:trPr>
        <w:tc>
          <w:tcPr>
            <w:tcW w:w="5807" w:type="dxa"/>
          </w:tcPr>
          <w:p w14:paraId="022606F3" w14:textId="2E2202AC" w:rsidR="00556ED5" w:rsidRPr="008D4D09" w:rsidRDefault="00556ED5" w:rsidP="00FD4C65">
            <w:pPr>
              <w:ind w:right="-46"/>
              <w:rPr>
                <w:sz w:val="21"/>
                <w:szCs w:val="21"/>
              </w:rPr>
            </w:pPr>
            <w:r w:rsidRPr="008D4D09">
              <w:rPr>
                <w:sz w:val="21"/>
                <w:szCs w:val="21"/>
              </w:rPr>
              <w:t>Manager</w:t>
            </w:r>
            <w:r w:rsidR="00641464" w:rsidRPr="008D4D09">
              <w:rPr>
                <w:sz w:val="21"/>
                <w:szCs w:val="21"/>
              </w:rPr>
              <w:t xml:space="preserve"> full</w:t>
            </w:r>
            <w:r w:rsidRPr="008D4D09">
              <w:rPr>
                <w:sz w:val="21"/>
                <w:szCs w:val="21"/>
              </w:rPr>
              <w:t xml:space="preserve"> name</w:t>
            </w:r>
          </w:p>
        </w:tc>
        <w:tc>
          <w:tcPr>
            <w:tcW w:w="3260" w:type="dxa"/>
          </w:tcPr>
          <w:p w14:paraId="07E5423E" w14:textId="77777777" w:rsidR="00556ED5" w:rsidRPr="008D4D09" w:rsidRDefault="00556ED5" w:rsidP="008149C4">
            <w:pPr>
              <w:ind w:right="-46"/>
              <w:jc w:val="center"/>
              <w:rPr>
                <w:sz w:val="21"/>
                <w:szCs w:val="21"/>
              </w:rPr>
            </w:pPr>
            <w:r w:rsidRPr="008D4D09">
              <w:rPr>
                <w:sz w:val="21"/>
                <w:szCs w:val="21"/>
              </w:rPr>
              <w:t>Legal &amp; General Investment Management</w:t>
            </w:r>
          </w:p>
        </w:tc>
      </w:tr>
      <w:tr w:rsidR="00556ED5" w14:paraId="2B7F3113" w14:textId="77777777" w:rsidTr="5BEACF45">
        <w:trPr>
          <w:trHeight w:val="242"/>
        </w:trPr>
        <w:tc>
          <w:tcPr>
            <w:tcW w:w="5807" w:type="dxa"/>
          </w:tcPr>
          <w:p w14:paraId="66DB1349" w14:textId="77777777" w:rsidR="00556ED5" w:rsidRPr="008D4D09" w:rsidRDefault="00556ED5" w:rsidP="00FD4C65">
            <w:pPr>
              <w:ind w:right="-46"/>
              <w:rPr>
                <w:sz w:val="21"/>
                <w:szCs w:val="21"/>
              </w:rPr>
            </w:pPr>
            <w:r w:rsidRPr="008D4D09">
              <w:rPr>
                <w:sz w:val="21"/>
                <w:szCs w:val="21"/>
              </w:rPr>
              <w:t>Fund name</w:t>
            </w:r>
          </w:p>
        </w:tc>
        <w:tc>
          <w:tcPr>
            <w:tcW w:w="3260" w:type="dxa"/>
          </w:tcPr>
          <w:p w14:paraId="7D7FD0EE" w14:textId="77777777" w:rsidR="00556ED5" w:rsidRPr="008D4D09" w:rsidRDefault="00556ED5" w:rsidP="008149C4">
            <w:pPr>
              <w:ind w:right="-46"/>
              <w:jc w:val="center"/>
              <w:rPr>
                <w:sz w:val="21"/>
                <w:szCs w:val="21"/>
              </w:rPr>
            </w:pPr>
            <w:r w:rsidRPr="008D4D09">
              <w:rPr>
                <w:sz w:val="21"/>
                <w:szCs w:val="21"/>
              </w:rPr>
              <w:t>Diversified Fund</w:t>
            </w:r>
          </w:p>
        </w:tc>
      </w:tr>
      <w:tr w:rsidR="00556ED5" w14:paraId="7B4211FB" w14:textId="77777777" w:rsidTr="5BEACF45">
        <w:trPr>
          <w:trHeight w:val="242"/>
        </w:trPr>
        <w:tc>
          <w:tcPr>
            <w:tcW w:w="5807" w:type="dxa"/>
          </w:tcPr>
          <w:p w14:paraId="20EE3A76" w14:textId="77777777" w:rsidR="00556ED5" w:rsidRPr="008D4D09" w:rsidRDefault="00556ED5" w:rsidP="00FD4C65">
            <w:pPr>
              <w:ind w:right="-46"/>
              <w:rPr>
                <w:sz w:val="21"/>
                <w:szCs w:val="21"/>
              </w:rPr>
            </w:pPr>
            <w:r w:rsidRPr="008D4D09">
              <w:rPr>
                <w:sz w:val="21"/>
                <w:szCs w:val="21"/>
              </w:rPr>
              <w:t>Number of equity holdings at year end</w:t>
            </w:r>
          </w:p>
        </w:tc>
        <w:tc>
          <w:tcPr>
            <w:tcW w:w="3260" w:type="dxa"/>
          </w:tcPr>
          <w:p w14:paraId="6E457FBB" w14:textId="6AF4C409" w:rsidR="00556ED5" w:rsidRPr="008D4D09" w:rsidRDefault="7093F1DE" w:rsidP="008149C4">
            <w:pPr>
              <w:ind w:right="-46"/>
              <w:jc w:val="center"/>
              <w:rPr>
                <w:sz w:val="21"/>
                <w:szCs w:val="21"/>
              </w:rPr>
            </w:pPr>
            <w:r w:rsidRPr="5BEACF45">
              <w:rPr>
                <w:sz w:val="21"/>
                <w:szCs w:val="21"/>
              </w:rPr>
              <w:t>7</w:t>
            </w:r>
            <w:r w:rsidR="00834929">
              <w:rPr>
                <w:sz w:val="21"/>
                <w:szCs w:val="21"/>
              </w:rPr>
              <w:t>,</w:t>
            </w:r>
            <w:r w:rsidR="00894EFB">
              <w:rPr>
                <w:sz w:val="21"/>
                <w:szCs w:val="21"/>
              </w:rPr>
              <w:t>453</w:t>
            </w:r>
          </w:p>
        </w:tc>
      </w:tr>
      <w:tr w:rsidR="00556ED5" w14:paraId="5BE74648" w14:textId="77777777" w:rsidTr="5BEACF45">
        <w:trPr>
          <w:trHeight w:val="228"/>
        </w:trPr>
        <w:tc>
          <w:tcPr>
            <w:tcW w:w="5807" w:type="dxa"/>
          </w:tcPr>
          <w:p w14:paraId="30B8BD80" w14:textId="77777777" w:rsidR="00556ED5" w:rsidRPr="008D4D09" w:rsidRDefault="00556ED5" w:rsidP="00FD4C65">
            <w:pPr>
              <w:ind w:right="-46"/>
              <w:rPr>
                <w:sz w:val="21"/>
                <w:szCs w:val="21"/>
              </w:rPr>
            </w:pPr>
            <w:r w:rsidRPr="008D4D09">
              <w:rPr>
                <w:sz w:val="21"/>
                <w:szCs w:val="21"/>
              </w:rPr>
              <w:t>Number of meetings eligible to vote</w:t>
            </w:r>
          </w:p>
        </w:tc>
        <w:tc>
          <w:tcPr>
            <w:tcW w:w="3260" w:type="dxa"/>
            <w:vAlign w:val="center"/>
          </w:tcPr>
          <w:p w14:paraId="1AB11C15" w14:textId="50F4B648" w:rsidR="5BEACF45" w:rsidRDefault="009C523E" w:rsidP="5BEACF45">
            <w:pPr>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10,459</w:t>
            </w:r>
          </w:p>
        </w:tc>
      </w:tr>
      <w:tr w:rsidR="00556ED5" w14:paraId="4145EA1E" w14:textId="77777777" w:rsidTr="5BEACF45">
        <w:trPr>
          <w:trHeight w:val="242"/>
        </w:trPr>
        <w:tc>
          <w:tcPr>
            <w:tcW w:w="5807" w:type="dxa"/>
          </w:tcPr>
          <w:p w14:paraId="52800E8C" w14:textId="77777777" w:rsidR="00556ED5" w:rsidRPr="008D4D09" w:rsidRDefault="00556ED5" w:rsidP="00FD4C65">
            <w:pPr>
              <w:ind w:right="-46"/>
              <w:rPr>
                <w:sz w:val="21"/>
                <w:szCs w:val="21"/>
              </w:rPr>
            </w:pPr>
            <w:r w:rsidRPr="008D4D09">
              <w:rPr>
                <w:sz w:val="21"/>
                <w:szCs w:val="21"/>
              </w:rPr>
              <w:t>Number of resolutions eligible to vote</w:t>
            </w:r>
          </w:p>
        </w:tc>
        <w:tc>
          <w:tcPr>
            <w:tcW w:w="3260" w:type="dxa"/>
            <w:vAlign w:val="center"/>
          </w:tcPr>
          <w:p w14:paraId="2340468B" w14:textId="2DACC001" w:rsidR="5BEACF45" w:rsidRDefault="009C523E" w:rsidP="5BEACF45">
            <w:pPr>
              <w:jc w:val="center"/>
              <w:rPr>
                <w:rFonts w:ascii="Calibri" w:eastAsia="Calibri" w:hAnsi="Calibri" w:cs="Calibri"/>
                <w:color w:val="000000" w:themeColor="text1"/>
                <w:sz w:val="21"/>
                <w:szCs w:val="21"/>
              </w:rPr>
            </w:pPr>
            <w:r>
              <w:rPr>
                <w:rFonts w:ascii="Calibri" w:eastAsia="Calibri" w:hAnsi="Calibri" w:cs="Calibri"/>
                <w:color w:val="000000" w:themeColor="text1"/>
                <w:sz w:val="21"/>
                <w:szCs w:val="21"/>
              </w:rPr>
              <w:t>106,260</w:t>
            </w:r>
          </w:p>
        </w:tc>
      </w:tr>
      <w:tr w:rsidR="00556ED5" w14:paraId="4315DC62" w14:textId="77777777" w:rsidTr="5BEACF45">
        <w:trPr>
          <w:trHeight w:val="228"/>
        </w:trPr>
        <w:tc>
          <w:tcPr>
            <w:tcW w:w="5807" w:type="dxa"/>
          </w:tcPr>
          <w:p w14:paraId="32336441" w14:textId="77777777" w:rsidR="00556ED5" w:rsidRPr="008D4D09" w:rsidRDefault="00556ED5" w:rsidP="00FD4C65">
            <w:pPr>
              <w:ind w:right="-46"/>
              <w:rPr>
                <w:sz w:val="21"/>
                <w:szCs w:val="21"/>
              </w:rPr>
            </w:pPr>
            <w:r w:rsidRPr="008D4D09">
              <w:rPr>
                <w:sz w:val="21"/>
                <w:szCs w:val="21"/>
              </w:rPr>
              <w:t>% of resolutions voted</w:t>
            </w:r>
          </w:p>
        </w:tc>
        <w:tc>
          <w:tcPr>
            <w:tcW w:w="3260" w:type="dxa"/>
            <w:vAlign w:val="center"/>
          </w:tcPr>
          <w:p w14:paraId="3E997222" w14:textId="0CB6BEA6" w:rsidR="5BEACF45" w:rsidRDefault="5BEACF45" w:rsidP="5BEACF45">
            <w:pPr>
              <w:jc w:val="center"/>
              <w:rPr>
                <w:rFonts w:ascii="Calibri" w:eastAsia="Calibri" w:hAnsi="Calibri" w:cs="Calibri"/>
                <w:color w:val="000000" w:themeColor="text1"/>
                <w:sz w:val="21"/>
                <w:szCs w:val="21"/>
              </w:rPr>
            </w:pPr>
            <w:r w:rsidRPr="5BEACF45">
              <w:rPr>
                <w:rFonts w:ascii="Calibri" w:eastAsia="Calibri" w:hAnsi="Calibri" w:cs="Calibri"/>
                <w:color w:val="000000" w:themeColor="text1"/>
                <w:sz w:val="21"/>
                <w:szCs w:val="21"/>
              </w:rPr>
              <w:t>99.</w:t>
            </w:r>
            <w:r w:rsidR="009C523E">
              <w:rPr>
                <w:rFonts w:ascii="Calibri" w:eastAsia="Calibri" w:hAnsi="Calibri" w:cs="Calibri"/>
                <w:color w:val="000000" w:themeColor="text1"/>
                <w:sz w:val="21"/>
                <w:szCs w:val="21"/>
              </w:rPr>
              <w:t>76</w:t>
            </w:r>
            <w:r w:rsidRPr="5BEACF45">
              <w:rPr>
                <w:rFonts w:ascii="Calibri" w:eastAsia="Calibri" w:hAnsi="Calibri" w:cs="Calibri"/>
                <w:color w:val="000000" w:themeColor="text1"/>
                <w:sz w:val="21"/>
                <w:szCs w:val="21"/>
              </w:rPr>
              <w:t>%</w:t>
            </w:r>
          </w:p>
        </w:tc>
      </w:tr>
      <w:tr w:rsidR="00556ED5" w14:paraId="21BAF319" w14:textId="77777777" w:rsidTr="5BEACF45">
        <w:trPr>
          <w:trHeight w:val="228"/>
        </w:trPr>
        <w:tc>
          <w:tcPr>
            <w:tcW w:w="5807" w:type="dxa"/>
          </w:tcPr>
          <w:p w14:paraId="38B4730B" w14:textId="77777777" w:rsidR="00556ED5" w:rsidRPr="008D4D09" w:rsidRDefault="00556ED5" w:rsidP="00FD4C65">
            <w:pPr>
              <w:ind w:right="-46"/>
              <w:rPr>
                <w:sz w:val="21"/>
                <w:szCs w:val="21"/>
              </w:rPr>
            </w:pPr>
            <w:r w:rsidRPr="008D4D09">
              <w:rPr>
                <w:sz w:val="21"/>
                <w:szCs w:val="21"/>
              </w:rPr>
              <w:t>% of resolutions voted with management</w:t>
            </w:r>
          </w:p>
        </w:tc>
        <w:tc>
          <w:tcPr>
            <w:tcW w:w="3260" w:type="dxa"/>
            <w:vAlign w:val="center"/>
          </w:tcPr>
          <w:p w14:paraId="3D7D610A" w14:textId="21D6ED27" w:rsidR="5BEACF45" w:rsidRDefault="5BEACF45" w:rsidP="5BEACF45">
            <w:pPr>
              <w:jc w:val="center"/>
              <w:rPr>
                <w:rFonts w:ascii="Calibri" w:eastAsia="Calibri" w:hAnsi="Calibri" w:cs="Calibri"/>
                <w:color w:val="000000" w:themeColor="text1"/>
                <w:sz w:val="21"/>
                <w:szCs w:val="21"/>
              </w:rPr>
            </w:pPr>
            <w:r w:rsidRPr="5BEACF45">
              <w:rPr>
                <w:rFonts w:ascii="Calibri" w:eastAsia="Calibri" w:hAnsi="Calibri" w:cs="Calibri"/>
                <w:color w:val="000000" w:themeColor="text1"/>
                <w:sz w:val="21"/>
                <w:szCs w:val="21"/>
              </w:rPr>
              <w:t>76.</w:t>
            </w:r>
            <w:r w:rsidR="009C523E">
              <w:rPr>
                <w:rFonts w:ascii="Calibri" w:eastAsia="Calibri" w:hAnsi="Calibri" w:cs="Calibri"/>
                <w:color w:val="000000" w:themeColor="text1"/>
                <w:sz w:val="21"/>
                <w:szCs w:val="21"/>
              </w:rPr>
              <w:t>47</w:t>
            </w:r>
            <w:r w:rsidRPr="5BEACF45">
              <w:rPr>
                <w:rFonts w:ascii="Calibri" w:eastAsia="Calibri" w:hAnsi="Calibri" w:cs="Calibri"/>
                <w:color w:val="000000" w:themeColor="text1"/>
                <w:sz w:val="21"/>
                <w:szCs w:val="21"/>
              </w:rPr>
              <w:t>%</w:t>
            </w:r>
          </w:p>
        </w:tc>
      </w:tr>
      <w:tr w:rsidR="00556ED5" w14:paraId="47F7B781" w14:textId="77777777" w:rsidTr="5BEACF45">
        <w:trPr>
          <w:trHeight w:val="228"/>
        </w:trPr>
        <w:tc>
          <w:tcPr>
            <w:tcW w:w="5807" w:type="dxa"/>
          </w:tcPr>
          <w:p w14:paraId="1C0CC865" w14:textId="77777777" w:rsidR="00556ED5" w:rsidRPr="008D4D09" w:rsidRDefault="00556ED5" w:rsidP="00FD4C65">
            <w:pPr>
              <w:ind w:right="-46"/>
              <w:rPr>
                <w:sz w:val="21"/>
                <w:szCs w:val="21"/>
              </w:rPr>
            </w:pPr>
            <w:r w:rsidRPr="008D4D09">
              <w:rPr>
                <w:sz w:val="21"/>
                <w:szCs w:val="21"/>
              </w:rPr>
              <w:t>% of resolutions voted against management</w:t>
            </w:r>
          </w:p>
        </w:tc>
        <w:tc>
          <w:tcPr>
            <w:tcW w:w="3260" w:type="dxa"/>
            <w:vAlign w:val="center"/>
          </w:tcPr>
          <w:p w14:paraId="3B5AB735" w14:textId="0143EBBF" w:rsidR="5BEACF45" w:rsidRDefault="5BEACF45" w:rsidP="5BEACF45">
            <w:pPr>
              <w:jc w:val="center"/>
              <w:rPr>
                <w:rFonts w:ascii="Calibri" w:eastAsia="Calibri" w:hAnsi="Calibri" w:cs="Calibri"/>
                <w:color w:val="000000" w:themeColor="text1"/>
                <w:sz w:val="21"/>
                <w:szCs w:val="21"/>
              </w:rPr>
            </w:pPr>
            <w:r w:rsidRPr="5BEACF45">
              <w:rPr>
                <w:rFonts w:ascii="Calibri" w:eastAsia="Calibri" w:hAnsi="Calibri" w:cs="Calibri"/>
                <w:color w:val="000000" w:themeColor="text1"/>
                <w:sz w:val="21"/>
                <w:szCs w:val="21"/>
              </w:rPr>
              <w:t>22.</w:t>
            </w:r>
            <w:r w:rsidR="00A0079A">
              <w:rPr>
                <w:rFonts w:ascii="Calibri" w:eastAsia="Calibri" w:hAnsi="Calibri" w:cs="Calibri"/>
                <w:color w:val="000000" w:themeColor="text1"/>
                <w:sz w:val="21"/>
                <w:szCs w:val="21"/>
              </w:rPr>
              <w:t>88</w:t>
            </w:r>
            <w:r w:rsidRPr="5BEACF45">
              <w:rPr>
                <w:rFonts w:ascii="Calibri" w:eastAsia="Calibri" w:hAnsi="Calibri" w:cs="Calibri"/>
                <w:color w:val="000000" w:themeColor="text1"/>
                <w:sz w:val="21"/>
                <w:szCs w:val="21"/>
              </w:rPr>
              <w:t>%</w:t>
            </w:r>
          </w:p>
        </w:tc>
      </w:tr>
      <w:tr w:rsidR="00556ED5" w14:paraId="1AB281DF" w14:textId="77777777" w:rsidTr="5BEACF45">
        <w:trPr>
          <w:trHeight w:val="228"/>
        </w:trPr>
        <w:tc>
          <w:tcPr>
            <w:tcW w:w="5807" w:type="dxa"/>
          </w:tcPr>
          <w:p w14:paraId="05479B8B" w14:textId="77777777" w:rsidR="00556ED5" w:rsidRPr="008D4D09" w:rsidRDefault="00556ED5" w:rsidP="00FD4C65">
            <w:pPr>
              <w:ind w:right="-46"/>
              <w:rPr>
                <w:sz w:val="21"/>
                <w:szCs w:val="21"/>
              </w:rPr>
            </w:pPr>
            <w:r w:rsidRPr="008D4D09">
              <w:rPr>
                <w:sz w:val="21"/>
                <w:szCs w:val="21"/>
              </w:rPr>
              <w:t>% of resolutions abstained</w:t>
            </w:r>
          </w:p>
        </w:tc>
        <w:tc>
          <w:tcPr>
            <w:tcW w:w="3260" w:type="dxa"/>
            <w:vAlign w:val="center"/>
          </w:tcPr>
          <w:p w14:paraId="472C0DC3" w14:textId="68F15EBE" w:rsidR="5BEACF45" w:rsidRDefault="5BEACF45" w:rsidP="5BEACF45">
            <w:pPr>
              <w:jc w:val="center"/>
              <w:rPr>
                <w:rFonts w:ascii="Calibri" w:eastAsia="Calibri" w:hAnsi="Calibri" w:cs="Calibri"/>
                <w:color w:val="000000" w:themeColor="text1"/>
                <w:sz w:val="21"/>
                <w:szCs w:val="21"/>
              </w:rPr>
            </w:pPr>
            <w:r w:rsidRPr="5BEACF45">
              <w:rPr>
                <w:rFonts w:ascii="Calibri" w:eastAsia="Calibri" w:hAnsi="Calibri" w:cs="Calibri"/>
                <w:color w:val="000000" w:themeColor="text1"/>
                <w:sz w:val="21"/>
                <w:szCs w:val="21"/>
              </w:rPr>
              <w:t>0.</w:t>
            </w:r>
            <w:r w:rsidR="00A0079A">
              <w:rPr>
                <w:rFonts w:ascii="Calibri" w:eastAsia="Calibri" w:hAnsi="Calibri" w:cs="Calibri"/>
                <w:color w:val="000000" w:themeColor="text1"/>
                <w:sz w:val="21"/>
                <w:szCs w:val="21"/>
              </w:rPr>
              <w:t>64</w:t>
            </w:r>
            <w:r w:rsidRPr="5BEACF45">
              <w:rPr>
                <w:rFonts w:ascii="Calibri" w:eastAsia="Calibri" w:hAnsi="Calibri" w:cs="Calibri"/>
                <w:color w:val="000000" w:themeColor="text1"/>
                <w:sz w:val="21"/>
                <w:szCs w:val="21"/>
              </w:rPr>
              <w:t>%</w:t>
            </w:r>
          </w:p>
        </w:tc>
      </w:tr>
      <w:tr w:rsidR="00556ED5" w14:paraId="7A2CDB53" w14:textId="77777777" w:rsidTr="5BEACF45">
        <w:trPr>
          <w:trHeight w:val="228"/>
        </w:trPr>
        <w:tc>
          <w:tcPr>
            <w:tcW w:w="5807" w:type="dxa"/>
          </w:tcPr>
          <w:p w14:paraId="4D2CF5CB" w14:textId="0478A83D" w:rsidR="00556ED5" w:rsidRPr="008D4D09" w:rsidRDefault="00556ED5" w:rsidP="00FD4C65">
            <w:pPr>
              <w:ind w:right="-46"/>
              <w:rPr>
                <w:sz w:val="21"/>
                <w:szCs w:val="21"/>
              </w:rPr>
            </w:pPr>
            <w:r w:rsidRPr="008D4D09">
              <w:rPr>
                <w:sz w:val="21"/>
                <w:szCs w:val="21"/>
              </w:rPr>
              <w:t>% of meetings with at least one vote against management</w:t>
            </w:r>
          </w:p>
        </w:tc>
        <w:tc>
          <w:tcPr>
            <w:tcW w:w="3260" w:type="dxa"/>
          </w:tcPr>
          <w:p w14:paraId="50DE45E9" w14:textId="79DE3EF7" w:rsidR="00556ED5" w:rsidRPr="008D4D09" w:rsidRDefault="521F9850" w:rsidP="008149C4">
            <w:pPr>
              <w:ind w:right="-46"/>
              <w:jc w:val="center"/>
              <w:rPr>
                <w:sz w:val="21"/>
                <w:szCs w:val="21"/>
              </w:rPr>
            </w:pPr>
            <w:r w:rsidRPr="5BEACF45">
              <w:rPr>
                <w:sz w:val="21"/>
                <w:szCs w:val="21"/>
              </w:rPr>
              <w:t>7</w:t>
            </w:r>
            <w:r w:rsidR="00A0079A">
              <w:rPr>
                <w:sz w:val="21"/>
                <w:szCs w:val="21"/>
              </w:rPr>
              <w:t>2.46</w:t>
            </w:r>
            <w:r w:rsidRPr="5BEACF45">
              <w:rPr>
                <w:sz w:val="21"/>
                <w:szCs w:val="21"/>
              </w:rPr>
              <w:t>%</w:t>
            </w:r>
          </w:p>
        </w:tc>
      </w:tr>
      <w:tr w:rsidR="00556ED5" w14:paraId="064AB6D7" w14:textId="77777777" w:rsidTr="5BEACF45">
        <w:trPr>
          <w:trHeight w:val="228"/>
        </w:trPr>
        <w:tc>
          <w:tcPr>
            <w:tcW w:w="5807" w:type="dxa"/>
          </w:tcPr>
          <w:p w14:paraId="25E6FDA2" w14:textId="77777777" w:rsidR="00556ED5" w:rsidRPr="008D4D09" w:rsidRDefault="00556ED5" w:rsidP="002A7FC5">
            <w:pPr>
              <w:ind w:right="-107"/>
              <w:rPr>
                <w:sz w:val="21"/>
                <w:szCs w:val="21"/>
              </w:rPr>
            </w:pPr>
            <w:r w:rsidRPr="008D4D09">
              <w:rPr>
                <w:sz w:val="21"/>
                <w:szCs w:val="21"/>
              </w:rPr>
              <w:t>% of resolutions voted contrary to the proxy adviser recommendation</w:t>
            </w:r>
          </w:p>
        </w:tc>
        <w:tc>
          <w:tcPr>
            <w:tcW w:w="3260" w:type="dxa"/>
          </w:tcPr>
          <w:p w14:paraId="299CFAB5" w14:textId="29A095AE" w:rsidR="00556ED5" w:rsidRPr="008D4D09" w:rsidRDefault="41458CF1" w:rsidP="008149C4">
            <w:pPr>
              <w:ind w:right="-46"/>
              <w:jc w:val="center"/>
              <w:rPr>
                <w:sz w:val="21"/>
                <w:szCs w:val="21"/>
              </w:rPr>
            </w:pPr>
            <w:r w:rsidRPr="5BEACF45">
              <w:rPr>
                <w:sz w:val="21"/>
                <w:szCs w:val="21"/>
              </w:rPr>
              <w:t>1</w:t>
            </w:r>
            <w:r w:rsidR="7FA51831" w:rsidRPr="5BEACF45">
              <w:rPr>
                <w:sz w:val="21"/>
                <w:szCs w:val="21"/>
              </w:rPr>
              <w:t>4.</w:t>
            </w:r>
            <w:r w:rsidR="002E5960">
              <w:rPr>
                <w:sz w:val="21"/>
                <w:szCs w:val="21"/>
              </w:rPr>
              <w:t>05</w:t>
            </w:r>
            <w:r w:rsidRPr="5BEACF45">
              <w:rPr>
                <w:sz w:val="21"/>
                <w:szCs w:val="21"/>
              </w:rPr>
              <w:t>%</w:t>
            </w:r>
          </w:p>
        </w:tc>
      </w:tr>
    </w:tbl>
    <w:p w14:paraId="1BC7892D" w14:textId="77777777" w:rsidR="00D554C1" w:rsidRDefault="00D554C1" w:rsidP="00D554C1">
      <w:pPr>
        <w:spacing w:before="300" w:line="264" w:lineRule="auto"/>
        <w:ind w:right="-45"/>
        <w:rPr>
          <w:b/>
          <w:bCs/>
          <w:sz w:val="24"/>
          <w:szCs w:val="24"/>
        </w:rPr>
      </w:pPr>
    </w:p>
    <w:p w14:paraId="0C8C60C9" w14:textId="77777777" w:rsidR="002650F4" w:rsidRPr="00D554C1" w:rsidRDefault="002650F4" w:rsidP="00D554C1">
      <w:pPr>
        <w:spacing w:before="300" w:line="264" w:lineRule="auto"/>
        <w:ind w:right="-45"/>
        <w:rPr>
          <w:b/>
          <w:bCs/>
          <w:sz w:val="24"/>
          <w:szCs w:val="24"/>
        </w:rPr>
      </w:pPr>
    </w:p>
    <w:p w14:paraId="1FD87CFC" w14:textId="35731A5F" w:rsidR="00A439B7" w:rsidRPr="00EF406A" w:rsidRDefault="00A439B7" w:rsidP="00BA3548">
      <w:pPr>
        <w:pStyle w:val="ListParagraph"/>
        <w:numPr>
          <w:ilvl w:val="1"/>
          <w:numId w:val="3"/>
        </w:numPr>
        <w:spacing w:before="300" w:line="264" w:lineRule="auto"/>
        <w:ind w:left="284" w:right="-45" w:hanging="284"/>
        <w:contextualSpacing w:val="0"/>
        <w:rPr>
          <w:b/>
          <w:bCs/>
          <w:sz w:val="24"/>
          <w:szCs w:val="24"/>
        </w:rPr>
      </w:pPr>
      <w:r w:rsidRPr="00EF406A">
        <w:rPr>
          <w:b/>
          <w:bCs/>
          <w:sz w:val="24"/>
          <w:szCs w:val="24"/>
        </w:rPr>
        <w:lastRenderedPageBreak/>
        <w:t>Most significant votes over the year</w:t>
      </w:r>
    </w:p>
    <w:p w14:paraId="5EF2391F" w14:textId="77777777" w:rsidR="00EF406A" w:rsidRDefault="00EF406A" w:rsidP="00B639CF">
      <w:pPr>
        <w:spacing w:after="200" w:line="252" w:lineRule="auto"/>
        <w:ind w:right="-45"/>
      </w:pPr>
      <w:r>
        <w:t>LGIM define their process for determining the “most significant” votes as follows:</w:t>
      </w:r>
    </w:p>
    <w:p w14:paraId="702ABF62" w14:textId="4BDE528C" w:rsidR="00EF406A" w:rsidRDefault="00EF406A" w:rsidP="00B639CF">
      <w:pPr>
        <w:spacing w:line="252" w:lineRule="auto"/>
        <w:ind w:right="-46"/>
      </w:pPr>
      <w:r>
        <w:t>“As regulation on vote reporting has recently evolved with the introduction of the concept of ‘significant vote’ by the EU Shareholder Rights Directive II, LGIM wants to ensure we continue to help our clients in fulfilling their reporting obligations. We also believe public transparency of our vote activity is critical for our clients and interested parties to hold us to account.  For many years, LGIM has regularly produced case studies and/ or summaries of LGIM’s vote positions to clients for what we deemed were ‘material votes’.  We are evolving our approach in line with the regulation and are committed to provide our clients access to ‘significant vote’ information.</w:t>
      </w:r>
    </w:p>
    <w:p w14:paraId="32FD00E6" w14:textId="77777777" w:rsidR="00EF406A" w:rsidRDefault="00EF406A" w:rsidP="00B639CF">
      <w:pPr>
        <w:spacing w:line="252" w:lineRule="auto"/>
        <w:ind w:right="-46"/>
      </w:pPr>
      <w:r>
        <w:t>In determining significant votes, LGIM’s Investment Stewardship team takes into account the criteria provided by the Pensions &amp; Lifetime Savings Association consultation (PLSA). This includes but is not limited to:</w:t>
      </w:r>
    </w:p>
    <w:p w14:paraId="2F18396B" w14:textId="77777777" w:rsidR="00EF406A" w:rsidRDefault="00EF406A" w:rsidP="00B639CF">
      <w:pPr>
        <w:pStyle w:val="ListParagraph"/>
        <w:numPr>
          <w:ilvl w:val="0"/>
          <w:numId w:val="6"/>
        </w:numPr>
        <w:spacing w:line="252" w:lineRule="auto"/>
        <w:ind w:left="425" w:right="-46" w:hanging="357"/>
        <w:contextualSpacing w:val="0"/>
      </w:pPr>
      <w:r>
        <w:t>High profile vote which has such a degree of controversy that there is high client and/ or public scrutiny;</w:t>
      </w:r>
    </w:p>
    <w:p w14:paraId="4F5F8ABF" w14:textId="77777777" w:rsidR="00EF406A" w:rsidRDefault="00EF406A" w:rsidP="00B639CF">
      <w:pPr>
        <w:pStyle w:val="ListParagraph"/>
        <w:numPr>
          <w:ilvl w:val="0"/>
          <w:numId w:val="6"/>
        </w:numPr>
        <w:spacing w:line="252" w:lineRule="auto"/>
        <w:ind w:left="425" w:right="-46" w:hanging="357"/>
        <w:contextualSpacing w:val="0"/>
      </w:pPr>
      <w:r>
        <w:t>Significant client interest for a vote: directly communicated by clients to the Investment Stewardship team at LGIM’s annual Stakeholder roundtable event, or where we note a significant increase in requests from clients on a particular vote;</w:t>
      </w:r>
    </w:p>
    <w:p w14:paraId="1F5AA92A" w14:textId="77777777" w:rsidR="00EF406A" w:rsidRDefault="00EF406A" w:rsidP="00B639CF">
      <w:pPr>
        <w:pStyle w:val="ListParagraph"/>
        <w:numPr>
          <w:ilvl w:val="0"/>
          <w:numId w:val="6"/>
        </w:numPr>
        <w:spacing w:line="252" w:lineRule="auto"/>
        <w:ind w:left="425" w:right="-46" w:hanging="357"/>
        <w:contextualSpacing w:val="0"/>
      </w:pPr>
      <w:r>
        <w:t>Sanction vote as a result of a direct or collaborative engagement;</w:t>
      </w:r>
    </w:p>
    <w:p w14:paraId="741879AF" w14:textId="77777777" w:rsidR="00EF406A" w:rsidRDefault="00EF406A" w:rsidP="00B639CF">
      <w:pPr>
        <w:pStyle w:val="ListParagraph"/>
        <w:numPr>
          <w:ilvl w:val="0"/>
          <w:numId w:val="6"/>
        </w:numPr>
        <w:spacing w:line="252" w:lineRule="auto"/>
        <w:ind w:left="425" w:right="-46" w:hanging="357"/>
      </w:pPr>
      <w:r>
        <w:t>Vote linked to an LGIM engagement campaign, in line with LGIM Investment Stewardship’s 5-year ESG priority engagement themes.</w:t>
      </w:r>
    </w:p>
    <w:p w14:paraId="6A012F13" w14:textId="3ECCE822" w:rsidR="00EF406A" w:rsidRDefault="00EF406A" w:rsidP="00B639CF">
      <w:pPr>
        <w:spacing w:line="252" w:lineRule="auto"/>
        <w:ind w:right="-46"/>
      </w:pPr>
      <w:r>
        <w:t>We will provide information on significant votes in the format of detailed case studies in our quarterly ESG impact report and annual active ownership publications.</w:t>
      </w:r>
      <w:r w:rsidR="00E972F5">
        <w:t>”</w:t>
      </w:r>
      <w:r>
        <w:t xml:space="preserve"> </w:t>
      </w:r>
    </w:p>
    <w:p w14:paraId="4A77D986" w14:textId="74B5F529" w:rsidR="00EF406A" w:rsidRDefault="00EF406A" w:rsidP="0061221D">
      <w:pPr>
        <w:spacing w:line="252" w:lineRule="auto"/>
        <w:ind w:right="-45"/>
      </w:pPr>
      <w:r>
        <w:t xml:space="preserve">If you have any additional questions on specific votes, please note that LGIM publicly discloses vote instructions on </w:t>
      </w:r>
      <w:r w:rsidR="0061221D">
        <w:t>their</w:t>
      </w:r>
      <w:r>
        <w:t xml:space="preserve"> website at:</w:t>
      </w:r>
    </w:p>
    <w:p w14:paraId="72E0B98D" w14:textId="77777777" w:rsidR="00EF406A" w:rsidRDefault="00EF406A" w:rsidP="00B639CF">
      <w:pPr>
        <w:spacing w:after="240" w:line="252" w:lineRule="auto"/>
        <w:ind w:right="-45"/>
      </w:pPr>
      <w:hyperlink r:id="rId12" w:anchor="/MjU2NQ==/" w:history="1">
        <w:r w:rsidRPr="00D239C7">
          <w:rPr>
            <w:rStyle w:val="Hyperlink"/>
          </w:rPr>
          <w:t>https://vds.issgovernance.com/vds/#/MjU2NQ==/</w:t>
        </w:r>
      </w:hyperlink>
      <w:r>
        <w:t xml:space="preserve"> </w:t>
      </w:r>
    </w:p>
    <w:p w14:paraId="6DB2243E" w14:textId="66255894" w:rsidR="0026475E" w:rsidRDefault="0026475E">
      <w:r>
        <w:br w:type="page"/>
      </w:r>
    </w:p>
    <w:p w14:paraId="45F0E4CF" w14:textId="04C8E24D" w:rsidR="00610658" w:rsidRDefault="000065DB" w:rsidP="0061221D">
      <w:pPr>
        <w:spacing w:after="240" w:line="252" w:lineRule="auto"/>
        <w:ind w:right="-45"/>
      </w:pPr>
      <w:r>
        <w:lastRenderedPageBreak/>
        <w:t xml:space="preserve">Examples of </w:t>
      </w:r>
      <w:r w:rsidR="007C15CD" w:rsidRPr="000F6403">
        <w:rPr>
          <w:b/>
          <w:bCs/>
        </w:rPr>
        <w:t>5</w:t>
      </w:r>
      <w:r w:rsidR="00610658" w:rsidRPr="00DD4141">
        <w:rPr>
          <w:b/>
          <w:bCs/>
        </w:rPr>
        <w:t xml:space="preserve"> significant votes</w:t>
      </w:r>
      <w:r w:rsidR="00610658" w:rsidRPr="00DD4141">
        <w:t xml:space="preserve"> cast for the </w:t>
      </w:r>
      <w:r w:rsidR="00610658" w:rsidRPr="00DD4141">
        <w:rPr>
          <w:b/>
          <w:bCs/>
        </w:rPr>
        <w:t>Diversified</w:t>
      </w:r>
      <w:r w:rsidR="00C540F8" w:rsidRPr="00DD4141">
        <w:rPr>
          <w:b/>
          <w:bCs/>
        </w:rPr>
        <w:t xml:space="preserve"> Fund </w:t>
      </w:r>
      <w:r w:rsidR="00FD4C65" w:rsidRPr="0061221D">
        <w:t xml:space="preserve">are set </w:t>
      </w:r>
      <w:r w:rsidR="00610658" w:rsidRPr="0061221D">
        <w:t>out</w:t>
      </w:r>
      <w:r w:rsidR="00610658" w:rsidRPr="00DD4141">
        <w:t xml:space="preserve"> in the following tables</w:t>
      </w:r>
      <w:r w:rsidR="00FD4C65" w:rsidRPr="00DD4141">
        <w:t>:</w:t>
      </w:r>
    </w:p>
    <w:tbl>
      <w:tblPr>
        <w:tblW w:w="9209" w:type="dxa"/>
        <w:tblLook w:val="04A0" w:firstRow="1" w:lastRow="0" w:firstColumn="1" w:lastColumn="0" w:noHBand="0" w:noVBand="1"/>
      </w:tblPr>
      <w:tblGrid>
        <w:gridCol w:w="2830"/>
        <w:gridCol w:w="6379"/>
      </w:tblGrid>
      <w:tr w:rsidR="00A115E9" w:rsidRPr="001D6D0A" w14:paraId="11763502" w14:textId="77777777" w:rsidTr="5BEACF45">
        <w:trPr>
          <w:trHeight w:val="200"/>
        </w:trPr>
        <w:tc>
          <w:tcPr>
            <w:tcW w:w="9209" w:type="dxa"/>
            <w:gridSpan w:val="2"/>
            <w:tcBorders>
              <w:top w:val="single" w:sz="4" w:space="0" w:color="auto"/>
              <w:left w:val="single" w:sz="4" w:space="0" w:color="auto"/>
              <w:bottom w:val="single" w:sz="4" w:space="0" w:color="auto"/>
              <w:right w:val="single" w:sz="4" w:space="0" w:color="auto"/>
            </w:tcBorders>
            <w:shd w:val="clear" w:color="auto" w:fill="D81668"/>
            <w:vAlign w:val="bottom"/>
            <w:hideMark/>
          </w:tcPr>
          <w:p w14:paraId="5459BB60" w14:textId="195F77D0" w:rsidR="00A115E9" w:rsidRPr="00675B45" w:rsidRDefault="00A115E9" w:rsidP="00C074C5">
            <w:pPr>
              <w:spacing w:after="0" w:line="240" w:lineRule="auto"/>
              <w:ind w:right="95"/>
              <w:rPr>
                <w:rFonts w:eastAsia="Times New Roman" w:cstheme="minorHAnsi"/>
                <w:b/>
                <w:bCs/>
                <w:color w:val="FFFFFF"/>
                <w:sz w:val="17"/>
                <w:szCs w:val="17"/>
                <w:lang w:eastAsia="en-GB"/>
              </w:rPr>
            </w:pPr>
            <w:r>
              <w:rPr>
                <w:rFonts w:eastAsia="Times New Roman" w:cstheme="minorHAnsi"/>
                <w:b/>
                <w:bCs/>
                <w:color w:val="FFFFFF"/>
                <w:sz w:val="17"/>
                <w:szCs w:val="17"/>
                <w:lang w:eastAsia="en-GB"/>
              </w:rPr>
              <w:t>Vote 1</w:t>
            </w:r>
          </w:p>
        </w:tc>
      </w:tr>
      <w:tr w:rsidR="00A115E9" w:rsidRPr="001D6D0A" w14:paraId="346EE765" w14:textId="77777777" w:rsidTr="5BEACF45">
        <w:trPr>
          <w:trHeight w:val="200"/>
        </w:trPr>
        <w:tc>
          <w:tcPr>
            <w:tcW w:w="2830" w:type="dxa"/>
            <w:tcBorders>
              <w:top w:val="nil"/>
              <w:left w:val="single" w:sz="4" w:space="0" w:color="auto"/>
              <w:bottom w:val="single" w:sz="4" w:space="0" w:color="auto"/>
              <w:right w:val="single" w:sz="4" w:space="0" w:color="auto"/>
            </w:tcBorders>
            <w:shd w:val="clear" w:color="auto" w:fill="D9D9D9" w:themeFill="background1" w:themeFillShade="D9"/>
            <w:hideMark/>
          </w:tcPr>
          <w:p w14:paraId="7EDC4D1D" w14:textId="77777777" w:rsidR="00A115E9" w:rsidRPr="00744F7F" w:rsidRDefault="00A115E9" w:rsidP="00C074C5">
            <w:pPr>
              <w:spacing w:after="0" w:line="240" w:lineRule="auto"/>
              <w:ind w:right="95"/>
              <w:rPr>
                <w:rFonts w:eastAsia="Times New Roman" w:cstheme="minorHAnsi"/>
                <w:sz w:val="17"/>
                <w:szCs w:val="17"/>
                <w:lang w:eastAsia="en-GB"/>
              </w:rPr>
            </w:pPr>
            <w:r w:rsidRPr="00744F7F">
              <w:rPr>
                <w:rFonts w:eastAsia="Times New Roman" w:cstheme="minorHAnsi"/>
                <w:sz w:val="17"/>
                <w:szCs w:val="17"/>
                <w:lang w:eastAsia="en-GB"/>
              </w:rPr>
              <w:t>Company name</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72F257F" w14:textId="198B7DEB" w:rsidR="5BEACF45" w:rsidRDefault="00E77EEA" w:rsidP="5BEACF45">
            <w:pPr>
              <w:spacing w:after="0"/>
              <w:rPr>
                <w:rFonts w:eastAsiaTheme="minorEastAsia"/>
                <w:color w:val="000000" w:themeColor="text1"/>
                <w:sz w:val="17"/>
                <w:szCs w:val="17"/>
              </w:rPr>
            </w:pPr>
            <w:r w:rsidRPr="00E77EEA">
              <w:rPr>
                <w:rFonts w:eastAsiaTheme="minorEastAsia"/>
                <w:color w:val="000000" w:themeColor="text1"/>
                <w:sz w:val="17"/>
                <w:szCs w:val="17"/>
              </w:rPr>
              <w:t>Canadian Pacific Kansas City Limited</w:t>
            </w:r>
          </w:p>
        </w:tc>
      </w:tr>
      <w:tr w:rsidR="00A115E9" w:rsidRPr="001D6D0A" w14:paraId="0F4E607A" w14:textId="77777777" w:rsidTr="5BEACF45">
        <w:trPr>
          <w:trHeight w:val="200"/>
        </w:trPr>
        <w:tc>
          <w:tcPr>
            <w:tcW w:w="2830" w:type="dxa"/>
            <w:tcBorders>
              <w:top w:val="nil"/>
              <w:left w:val="single" w:sz="4" w:space="0" w:color="auto"/>
              <w:bottom w:val="single" w:sz="4" w:space="0" w:color="auto"/>
              <w:right w:val="single" w:sz="4" w:space="0" w:color="auto"/>
            </w:tcBorders>
            <w:shd w:val="clear" w:color="auto" w:fill="D9D9D9" w:themeFill="background1" w:themeFillShade="D9"/>
            <w:hideMark/>
          </w:tcPr>
          <w:p w14:paraId="1DAFD1BB" w14:textId="77777777" w:rsidR="00A115E9" w:rsidRPr="00744F7F" w:rsidRDefault="00A115E9" w:rsidP="00C074C5">
            <w:pPr>
              <w:spacing w:after="0" w:line="240" w:lineRule="auto"/>
              <w:ind w:right="95"/>
              <w:rPr>
                <w:rFonts w:eastAsia="Times New Roman" w:cstheme="minorHAnsi"/>
                <w:sz w:val="17"/>
                <w:szCs w:val="17"/>
                <w:lang w:eastAsia="en-GB"/>
              </w:rPr>
            </w:pPr>
            <w:r w:rsidRPr="00744F7F">
              <w:rPr>
                <w:rFonts w:eastAsia="Times New Roman" w:cstheme="minorHAnsi"/>
                <w:sz w:val="17"/>
                <w:szCs w:val="17"/>
                <w:lang w:eastAsia="en-GB"/>
              </w:rPr>
              <w:t>Date of vote</w:t>
            </w:r>
          </w:p>
        </w:tc>
        <w:tc>
          <w:tcPr>
            <w:tcW w:w="637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8AECE48" w14:textId="40C0E331" w:rsidR="5BEACF45" w:rsidRDefault="00076C78" w:rsidP="5BEACF45">
            <w:pPr>
              <w:spacing w:after="0"/>
              <w:rPr>
                <w:rFonts w:eastAsiaTheme="minorEastAsia"/>
                <w:color w:val="000000" w:themeColor="text1"/>
                <w:sz w:val="17"/>
                <w:szCs w:val="17"/>
              </w:rPr>
            </w:pPr>
            <w:r w:rsidRPr="00076C78">
              <w:rPr>
                <w:rFonts w:eastAsiaTheme="minorEastAsia"/>
                <w:color w:val="000000" w:themeColor="text1"/>
                <w:sz w:val="17"/>
                <w:szCs w:val="17"/>
              </w:rPr>
              <w:t>2024-04-24</w:t>
            </w:r>
          </w:p>
        </w:tc>
      </w:tr>
      <w:tr w:rsidR="00A115E9" w:rsidRPr="001D6D0A" w14:paraId="7DFBF3EA" w14:textId="77777777" w:rsidTr="5BEACF45">
        <w:trPr>
          <w:trHeight w:val="400"/>
        </w:trPr>
        <w:tc>
          <w:tcPr>
            <w:tcW w:w="2830" w:type="dxa"/>
            <w:tcBorders>
              <w:top w:val="nil"/>
              <w:left w:val="single" w:sz="4" w:space="0" w:color="auto"/>
              <w:bottom w:val="single" w:sz="4" w:space="0" w:color="auto"/>
              <w:right w:val="single" w:sz="4" w:space="0" w:color="auto"/>
            </w:tcBorders>
            <w:shd w:val="clear" w:color="auto" w:fill="D9D9D9" w:themeFill="background1" w:themeFillShade="D9"/>
            <w:hideMark/>
          </w:tcPr>
          <w:p w14:paraId="4CD7D667" w14:textId="77777777" w:rsidR="00A115E9" w:rsidRPr="00744F7F" w:rsidRDefault="00A115E9" w:rsidP="00C074C5">
            <w:pPr>
              <w:spacing w:after="0" w:line="240" w:lineRule="auto"/>
              <w:ind w:right="95"/>
              <w:rPr>
                <w:rFonts w:eastAsia="Times New Roman" w:cstheme="minorHAnsi"/>
                <w:sz w:val="17"/>
                <w:szCs w:val="17"/>
                <w:lang w:eastAsia="en-GB"/>
              </w:rPr>
            </w:pPr>
            <w:r>
              <w:rPr>
                <w:rFonts w:eastAsia="Times New Roman" w:cstheme="minorHAnsi"/>
                <w:sz w:val="17"/>
                <w:szCs w:val="17"/>
                <w:lang w:eastAsia="en-GB"/>
              </w:rPr>
              <w:t>S</w:t>
            </w:r>
            <w:r w:rsidRPr="000165AA">
              <w:rPr>
                <w:rFonts w:eastAsia="Times New Roman" w:cstheme="minorHAnsi"/>
                <w:sz w:val="17"/>
                <w:szCs w:val="17"/>
                <w:lang w:eastAsia="en-GB"/>
              </w:rPr>
              <w:t>ize of fund's holding as at the date of the vote (as % of portfolio)</w:t>
            </w:r>
          </w:p>
        </w:tc>
        <w:tc>
          <w:tcPr>
            <w:tcW w:w="6379" w:type="dxa"/>
            <w:tcBorders>
              <w:top w:val="nil"/>
              <w:left w:val="single" w:sz="4" w:space="0" w:color="auto"/>
              <w:bottom w:val="single" w:sz="4" w:space="0" w:color="auto"/>
              <w:right w:val="single" w:sz="4" w:space="0" w:color="auto"/>
            </w:tcBorders>
            <w:shd w:val="clear" w:color="auto" w:fill="FFFFFF" w:themeFill="background1"/>
            <w:noWrap/>
            <w:hideMark/>
          </w:tcPr>
          <w:p w14:paraId="59380D8F" w14:textId="4C19AA0C" w:rsidR="5BEACF45" w:rsidRDefault="00076C78" w:rsidP="5BEACF45">
            <w:pPr>
              <w:spacing w:after="0"/>
              <w:rPr>
                <w:rFonts w:eastAsiaTheme="minorEastAsia"/>
                <w:color w:val="000000" w:themeColor="text1"/>
                <w:sz w:val="17"/>
                <w:szCs w:val="17"/>
              </w:rPr>
            </w:pPr>
            <w:r w:rsidRPr="00076C78">
              <w:rPr>
                <w:rFonts w:eastAsiaTheme="minorEastAsia"/>
                <w:color w:val="000000" w:themeColor="text1"/>
                <w:sz w:val="17"/>
                <w:szCs w:val="17"/>
              </w:rPr>
              <w:t>0.155009</w:t>
            </w:r>
          </w:p>
        </w:tc>
      </w:tr>
      <w:tr w:rsidR="00A115E9" w:rsidRPr="001D6D0A" w14:paraId="5A816F99" w14:textId="77777777" w:rsidTr="5BEACF45">
        <w:trPr>
          <w:trHeight w:val="157"/>
        </w:trPr>
        <w:tc>
          <w:tcPr>
            <w:tcW w:w="2830" w:type="dxa"/>
            <w:tcBorders>
              <w:top w:val="nil"/>
              <w:left w:val="single" w:sz="4" w:space="0" w:color="auto"/>
              <w:bottom w:val="single" w:sz="4" w:space="0" w:color="auto"/>
              <w:right w:val="single" w:sz="4" w:space="0" w:color="auto"/>
            </w:tcBorders>
            <w:shd w:val="clear" w:color="auto" w:fill="D9D9D9" w:themeFill="background1" w:themeFillShade="D9"/>
            <w:hideMark/>
          </w:tcPr>
          <w:p w14:paraId="45C957FC" w14:textId="77777777" w:rsidR="00A115E9" w:rsidRPr="00744F7F" w:rsidRDefault="00A115E9" w:rsidP="00C074C5">
            <w:pPr>
              <w:spacing w:after="0" w:line="240" w:lineRule="auto"/>
              <w:ind w:right="95"/>
              <w:rPr>
                <w:rFonts w:eastAsia="Times New Roman" w:cstheme="minorHAnsi"/>
                <w:sz w:val="17"/>
                <w:szCs w:val="17"/>
                <w:lang w:eastAsia="en-GB"/>
              </w:rPr>
            </w:pPr>
            <w:r w:rsidRPr="00744F7F">
              <w:rPr>
                <w:rFonts w:eastAsia="Times New Roman" w:cstheme="minorHAnsi"/>
                <w:sz w:val="17"/>
                <w:szCs w:val="17"/>
                <w:lang w:eastAsia="en-GB"/>
              </w:rPr>
              <w:t>Summary of the resolution</w:t>
            </w:r>
          </w:p>
        </w:tc>
        <w:tc>
          <w:tcPr>
            <w:tcW w:w="6379" w:type="dxa"/>
            <w:tcBorders>
              <w:top w:val="nil"/>
              <w:left w:val="single" w:sz="4" w:space="0" w:color="auto"/>
              <w:bottom w:val="single" w:sz="4" w:space="0" w:color="auto"/>
              <w:right w:val="single" w:sz="4" w:space="0" w:color="auto"/>
            </w:tcBorders>
            <w:shd w:val="clear" w:color="auto" w:fill="FFFFFF" w:themeFill="background1"/>
            <w:hideMark/>
          </w:tcPr>
          <w:p w14:paraId="34759135" w14:textId="5B340939" w:rsidR="5BEACF45" w:rsidRDefault="00FE1624" w:rsidP="5BEACF45">
            <w:pPr>
              <w:spacing w:after="0"/>
              <w:rPr>
                <w:rFonts w:eastAsiaTheme="minorEastAsia"/>
                <w:color w:val="000000" w:themeColor="text1"/>
                <w:sz w:val="17"/>
                <w:szCs w:val="17"/>
              </w:rPr>
            </w:pPr>
            <w:r w:rsidRPr="00FE1624">
              <w:rPr>
                <w:rFonts w:eastAsiaTheme="minorEastAsia"/>
                <w:color w:val="000000" w:themeColor="text1"/>
                <w:sz w:val="17"/>
                <w:szCs w:val="17"/>
              </w:rPr>
              <w:t>Resolution 3: Management Advisory Vote on Climate Change</w:t>
            </w:r>
          </w:p>
        </w:tc>
      </w:tr>
      <w:tr w:rsidR="00A115E9" w:rsidRPr="001D6D0A" w14:paraId="270B7E48" w14:textId="77777777" w:rsidTr="5BEACF45">
        <w:trPr>
          <w:trHeight w:val="200"/>
        </w:trPr>
        <w:tc>
          <w:tcPr>
            <w:tcW w:w="2830" w:type="dxa"/>
            <w:tcBorders>
              <w:top w:val="nil"/>
              <w:left w:val="single" w:sz="4" w:space="0" w:color="auto"/>
              <w:bottom w:val="single" w:sz="4" w:space="0" w:color="auto"/>
              <w:right w:val="single" w:sz="4" w:space="0" w:color="auto"/>
            </w:tcBorders>
            <w:shd w:val="clear" w:color="auto" w:fill="D9D9D9" w:themeFill="background1" w:themeFillShade="D9"/>
            <w:hideMark/>
          </w:tcPr>
          <w:p w14:paraId="32A3340C" w14:textId="77777777" w:rsidR="00A115E9" w:rsidRPr="00744F7F" w:rsidRDefault="00A115E9" w:rsidP="00C074C5">
            <w:pPr>
              <w:spacing w:after="0" w:line="240" w:lineRule="auto"/>
              <w:ind w:right="95"/>
              <w:rPr>
                <w:rFonts w:eastAsia="Times New Roman" w:cstheme="minorHAnsi"/>
                <w:sz w:val="17"/>
                <w:szCs w:val="17"/>
                <w:lang w:eastAsia="en-GB"/>
              </w:rPr>
            </w:pPr>
            <w:r w:rsidRPr="00744F7F">
              <w:rPr>
                <w:rFonts w:eastAsia="Times New Roman" w:cstheme="minorHAnsi"/>
                <w:sz w:val="17"/>
                <w:szCs w:val="17"/>
                <w:lang w:eastAsia="en-GB"/>
              </w:rPr>
              <w:t>How you voted</w:t>
            </w:r>
          </w:p>
        </w:tc>
        <w:tc>
          <w:tcPr>
            <w:tcW w:w="6379" w:type="dxa"/>
            <w:tcBorders>
              <w:top w:val="nil"/>
              <w:left w:val="single" w:sz="4" w:space="0" w:color="auto"/>
              <w:bottom w:val="single" w:sz="4" w:space="0" w:color="auto"/>
              <w:right w:val="single" w:sz="4" w:space="0" w:color="auto"/>
            </w:tcBorders>
            <w:shd w:val="clear" w:color="auto" w:fill="FFFFFF" w:themeFill="background1"/>
            <w:noWrap/>
            <w:hideMark/>
          </w:tcPr>
          <w:p w14:paraId="6DA57FA1" w14:textId="1668DA21" w:rsidR="5BEACF45" w:rsidRDefault="00FE1624" w:rsidP="5BEACF45">
            <w:pPr>
              <w:spacing w:after="0"/>
              <w:rPr>
                <w:rFonts w:eastAsiaTheme="minorEastAsia"/>
                <w:color w:val="000000" w:themeColor="text1"/>
                <w:sz w:val="17"/>
                <w:szCs w:val="17"/>
              </w:rPr>
            </w:pPr>
            <w:r>
              <w:rPr>
                <w:rFonts w:eastAsiaTheme="minorEastAsia"/>
                <w:color w:val="000000" w:themeColor="text1"/>
                <w:sz w:val="17"/>
                <w:szCs w:val="17"/>
              </w:rPr>
              <w:t>For</w:t>
            </w:r>
            <w:r w:rsidR="5BEACF45" w:rsidRPr="5BEACF45">
              <w:rPr>
                <w:rFonts w:eastAsiaTheme="minorEastAsia"/>
                <w:color w:val="000000" w:themeColor="text1"/>
                <w:sz w:val="17"/>
                <w:szCs w:val="17"/>
              </w:rPr>
              <w:t xml:space="preserve"> (management recommendation)</w:t>
            </w:r>
          </w:p>
        </w:tc>
      </w:tr>
      <w:tr w:rsidR="00A115E9" w:rsidRPr="001D6D0A" w14:paraId="1FC81D12" w14:textId="77777777" w:rsidTr="5BEACF45">
        <w:trPr>
          <w:trHeight w:val="400"/>
        </w:trPr>
        <w:tc>
          <w:tcPr>
            <w:tcW w:w="2830" w:type="dxa"/>
            <w:tcBorders>
              <w:top w:val="nil"/>
              <w:left w:val="single" w:sz="4" w:space="0" w:color="auto"/>
              <w:bottom w:val="single" w:sz="4" w:space="0" w:color="auto"/>
              <w:right w:val="single" w:sz="4" w:space="0" w:color="auto"/>
            </w:tcBorders>
            <w:shd w:val="clear" w:color="auto" w:fill="D9D9D9" w:themeFill="background1" w:themeFillShade="D9"/>
            <w:hideMark/>
          </w:tcPr>
          <w:p w14:paraId="7EF8450D" w14:textId="2F6FEF26" w:rsidR="00A115E9" w:rsidRPr="00744F7F" w:rsidRDefault="0043716F" w:rsidP="00C074C5">
            <w:pPr>
              <w:spacing w:after="0" w:line="240" w:lineRule="auto"/>
              <w:ind w:right="95"/>
              <w:rPr>
                <w:rFonts w:eastAsia="Times New Roman" w:cstheme="minorHAnsi"/>
                <w:sz w:val="17"/>
                <w:szCs w:val="17"/>
                <w:lang w:eastAsia="en-GB"/>
              </w:rPr>
            </w:pPr>
            <w:r>
              <w:rPr>
                <w:rFonts w:eastAsia="Times New Roman" w:cstheme="minorHAnsi"/>
                <w:sz w:val="17"/>
                <w:szCs w:val="17"/>
                <w:lang w:eastAsia="en-GB"/>
              </w:rPr>
              <w:t>D</w:t>
            </w:r>
            <w:r w:rsidR="00A115E9" w:rsidRPr="00744F7F">
              <w:rPr>
                <w:rFonts w:eastAsia="Times New Roman" w:cstheme="minorHAnsi"/>
                <w:sz w:val="17"/>
                <w:szCs w:val="17"/>
                <w:lang w:eastAsia="en-GB"/>
              </w:rPr>
              <w:t>id you communicate your intent to the company ahead of the vote?</w:t>
            </w:r>
          </w:p>
        </w:tc>
        <w:tc>
          <w:tcPr>
            <w:tcW w:w="6379" w:type="dxa"/>
            <w:tcBorders>
              <w:top w:val="nil"/>
              <w:left w:val="single" w:sz="4" w:space="0" w:color="auto"/>
              <w:bottom w:val="single" w:sz="4" w:space="0" w:color="auto"/>
              <w:right w:val="single" w:sz="4" w:space="0" w:color="auto"/>
            </w:tcBorders>
            <w:shd w:val="clear" w:color="auto" w:fill="FFFFFF" w:themeFill="background1"/>
            <w:noWrap/>
            <w:hideMark/>
          </w:tcPr>
          <w:p w14:paraId="6FED726D" w14:textId="14D59804" w:rsidR="5BEACF45" w:rsidRDefault="5BEACF45" w:rsidP="5BEACF45">
            <w:pPr>
              <w:spacing w:after="0"/>
              <w:rPr>
                <w:rFonts w:eastAsiaTheme="minorEastAsia"/>
                <w:color w:val="000000" w:themeColor="text1"/>
                <w:sz w:val="17"/>
                <w:szCs w:val="17"/>
              </w:rPr>
            </w:pPr>
            <w:r w:rsidRPr="5BEACF45">
              <w:rPr>
                <w:rFonts w:eastAsiaTheme="minorEastAsia"/>
                <w:color w:val="000000" w:themeColor="text1"/>
                <w:sz w:val="17"/>
                <w:szCs w:val="17"/>
              </w:rPr>
              <w:t>LGIM publicly communicates its vote instructions on its website the day after the company meeting, with a rationale for all votes against management. It is our policy not to engage with our investee companies in the three weeks prior to an AGM as our engagement is not limited to shareholder meeting topics.</w:t>
            </w:r>
          </w:p>
        </w:tc>
      </w:tr>
      <w:tr w:rsidR="00A115E9" w:rsidRPr="001D6D0A" w14:paraId="37DCD168" w14:textId="77777777" w:rsidTr="5BEACF45">
        <w:trPr>
          <w:trHeight w:val="1662"/>
        </w:trPr>
        <w:tc>
          <w:tcPr>
            <w:tcW w:w="2830" w:type="dxa"/>
            <w:tcBorders>
              <w:top w:val="nil"/>
              <w:left w:val="single" w:sz="4" w:space="0" w:color="auto"/>
              <w:bottom w:val="single" w:sz="4" w:space="0" w:color="auto"/>
              <w:right w:val="single" w:sz="4" w:space="0" w:color="auto"/>
            </w:tcBorders>
            <w:shd w:val="clear" w:color="auto" w:fill="D9D9D9" w:themeFill="background1" w:themeFillShade="D9"/>
            <w:hideMark/>
          </w:tcPr>
          <w:p w14:paraId="5B0FF17C" w14:textId="77777777" w:rsidR="00A115E9" w:rsidRPr="00744F7F" w:rsidRDefault="00A115E9" w:rsidP="00C074C5">
            <w:pPr>
              <w:spacing w:after="0" w:line="240" w:lineRule="auto"/>
              <w:ind w:right="95"/>
              <w:rPr>
                <w:rFonts w:eastAsia="Times New Roman" w:cstheme="minorHAnsi"/>
                <w:sz w:val="17"/>
                <w:szCs w:val="17"/>
                <w:lang w:eastAsia="en-GB"/>
              </w:rPr>
            </w:pPr>
            <w:r w:rsidRPr="00744F7F">
              <w:rPr>
                <w:rFonts w:eastAsia="Times New Roman" w:cstheme="minorHAnsi"/>
                <w:sz w:val="17"/>
                <w:szCs w:val="17"/>
                <w:lang w:eastAsia="en-GB"/>
              </w:rPr>
              <w:t>Rationale for the voting decision</w:t>
            </w:r>
          </w:p>
        </w:tc>
        <w:tc>
          <w:tcPr>
            <w:tcW w:w="6379" w:type="dxa"/>
            <w:tcBorders>
              <w:top w:val="nil"/>
              <w:left w:val="single" w:sz="4" w:space="0" w:color="auto"/>
              <w:bottom w:val="single" w:sz="4" w:space="0" w:color="auto"/>
              <w:right w:val="single" w:sz="4" w:space="0" w:color="auto"/>
            </w:tcBorders>
            <w:shd w:val="clear" w:color="auto" w:fill="FFFFFF" w:themeFill="background1"/>
            <w:hideMark/>
          </w:tcPr>
          <w:p w14:paraId="009FEF40" w14:textId="7605E84A" w:rsidR="5BEACF45" w:rsidRDefault="001B553D" w:rsidP="5BEACF45">
            <w:pPr>
              <w:spacing w:after="0"/>
              <w:rPr>
                <w:rFonts w:eastAsiaTheme="minorEastAsia"/>
                <w:color w:val="000000" w:themeColor="text1"/>
                <w:sz w:val="17"/>
                <w:szCs w:val="17"/>
              </w:rPr>
            </w:pPr>
            <w:r w:rsidRPr="001B553D">
              <w:rPr>
                <w:rFonts w:eastAsiaTheme="minorEastAsia"/>
                <w:color w:val="000000" w:themeColor="text1"/>
                <w:sz w:val="17"/>
                <w:szCs w:val="17"/>
              </w:rPr>
              <w:t>Climate change: A vote FOR is applied as LGIM expects companies to introduce credible transition plans, consistent with the Paris goals of limiting the global average temperature increase to 1.5°C. This includes the disclosure of scope 1, 2 and material scope 3 GHG emissions and short-, medium- and long-term GHG emissions reduction targets consistent with the 1.5°C goal. As CPKC set targets validated by Science Based Target initiative, we welcome the company's efforts to reduce its GHG emissions and expects to see a clear transition plan.</w:t>
            </w:r>
          </w:p>
        </w:tc>
      </w:tr>
      <w:tr w:rsidR="00A115E9" w:rsidRPr="001D6D0A" w14:paraId="2C89CB9F" w14:textId="77777777" w:rsidTr="5BEACF45">
        <w:trPr>
          <w:trHeight w:val="283"/>
        </w:trPr>
        <w:tc>
          <w:tcPr>
            <w:tcW w:w="2830" w:type="dxa"/>
            <w:tcBorders>
              <w:top w:val="nil"/>
              <w:left w:val="single" w:sz="4" w:space="0" w:color="auto"/>
              <w:bottom w:val="single" w:sz="4" w:space="0" w:color="auto"/>
              <w:right w:val="single" w:sz="4" w:space="0" w:color="auto"/>
            </w:tcBorders>
            <w:shd w:val="clear" w:color="auto" w:fill="D9D9D9" w:themeFill="background1" w:themeFillShade="D9"/>
            <w:hideMark/>
          </w:tcPr>
          <w:p w14:paraId="2D5A5D5F" w14:textId="77777777" w:rsidR="00A115E9" w:rsidRPr="00744F7F" w:rsidRDefault="00A115E9" w:rsidP="00C074C5">
            <w:pPr>
              <w:spacing w:after="0" w:line="240" w:lineRule="auto"/>
              <w:ind w:right="95"/>
              <w:rPr>
                <w:rFonts w:eastAsia="Times New Roman" w:cstheme="minorHAnsi"/>
                <w:sz w:val="17"/>
                <w:szCs w:val="17"/>
                <w:lang w:eastAsia="en-GB"/>
              </w:rPr>
            </w:pPr>
            <w:r w:rsidRPr="00744F7F">
              <w:rPr>
                <w:rFonts w:eastAsia="Times New Roman" w:cstheme="minorHAnsi"/>
                <w:sz w:val="17"/>
                <w:szCs w:val="17"/>
                <w:lang w:eastAsia="en-GB"/>
              </w:rPr>
              <w:t>Outcome of the vote</w:t>
            </w:r>
          </w:p>
        </w:tc>
        <w:tc>
          <w:tcPr>
            <w:tcW w:w="6379" w:type="dxa"/>
            <w:tcBorders>
              <w:top w:val="nil"/>
              <w:left w:val="single" w:sz="4" w:space="0" w:color="auto"/>
              <w:bottom w:val="single" w:sz="4" w:space="0" w:color="auto"/>
              <w:right w:val="single" w:sz="4" w:space="0" w:color="auto"/>
            </w:tcBorders>
            <w:shd w:val="clear" w:color="auto" w:fill="FFFFFF" w:themeFill="background1"/>
            <w:hideMark/>
          </w:tcPr>
          <w:p w14:paraId="00E2BF66" w14:textId="1C2F2B57" w:rsidR="5BEACF45" w:rsidRDefault="00123458" w:rsidP="5BEACF45">
            <w:pPr>
              <w:spacing w:after="0"/>
              <w:rPr>
                <w:rFonts w:eastAsiaTheme="minorEastAsia"/>
                <w:color w:val="000000" w:themeColor="text1"/>
                <w:sz w:val="17"/>
                <w:szCs w:val="17"/>
              </w:rPr>
            </w:pPr>
            <w:r>
              <w:rPr>
                <w:rFonts w:eastAsiaTheme="minorEastAsia"/>
                <w:color w:val="000000" w:themeColor="text1"/>
                <w:sz w:val="17"/>
                <w:szCs w:val="17"/>
              </w:rPr>
              <w:t>Pass</w:t>
            </w:r>
          </w:p>
        </w:tc>
      </w:tr>
      <w:tr w:rsidR="00A115E9" w:rsidRPr="001D6D0A" w14:paraId="4B5F7F29" w14:textId="77777777" w:rsidTr="5BEACF45">
        <w:trPr>
          <w:trHeight w:val="259"/>
        </w:trPr>
        <w:tc>
          <w:tcPr>
            <w:tcW w:w="2830" w:type="dxa"/>
            <w:tcBorders>
              <w:top w:val="nil"/>
              <w:left w:val="single" w:sz="4" w:space="0" w:color="auto"/>
              <w:bottom w:val="single" w:sz="4" w:space="0" w:color="auto"/>
              <w:right w:val="single" w:sz="4" w:space="0" w:color="auto"/>
            </w:tcBorders>
            <w:shd w:val="clear" w:color="auto" w:fill="D9D9D9" w:themeFill="background1" w:themeFillShade="D9"/>
            <w:hideMark/>
          </w:tcPr>
          <w:p w14:paraId="3D5564CF" w14:textId="77777777" w:rsidR="00A115E9" w:rsidRPr="00744F7F" w:rsidRDefault="00A115E9" w:rsidP="00C074C5">
            <w:pPr>
              <w:spacing w:after="0" w:line="240" w:lineRule="auto"/>
              <w:ind w:right="95"/>
              <w:rPr>
                <w:rFonts w:eastAsia="Times New Roman" w:cstheme="minorHAnsi"/>
                <w:sz w:val="17"/>
                <w:szCs w:val="17"/>
                <w:lang w:eastAsia="en-GB"/>
              </w:rPr>
            </w:pPr>
            <w:r w:rsidRPr="00744F7F">
              <w:rPr>
                <w:rFonts w:eastAsia="Times New Roman" w:cstheme="minorHAnsi"/>
                <w:sz w:val="17"/>
                <w:szCs w:val="17"/>
                <w:lang w:eastAsia="en-GB"/>
              </w:rPr>
              <w:t xml:space="preserve">Implications of the outcome </w:t>
            </w:r>
          </w:p>
        </w:tc>
        <w:tc>
          <w:tcPr>
            <w:tcW w:w="6379" w:type="dxa"/>
            <w:tcBorders>
              <w:top w:val="nil"/>
              <w:left w:val="single" w:sz="4" w:space="0" w:color="auto"/>
              <w:bottom w:val="single" w:sz="4" w:space="0" w:color="auto"/>
              <w:right w:val="single" w:sz="4" w:space="0" w:color="auto"/>
            </w:tcBorders>
            <w:shd w:val="clear" w:color="auto" w:fill="FFFFFF" w:themeFill="background1"/>
            <w:hideMark/>
          </w:tcPr>
          <w:p w14:paraId="70DDEB41" w14:textId="1F67CBF2" w:rsidR="5BEACF45" w:rsidRDefault="006955D6" w:rsidP="5BEACF45">
            <w:pPr>
              <w:spacing w:after="0"/>
              <w:rPr>
                <w:rFonts w:eastAsiaTheme="minorEastAsia"/>
                <w:color w:val="000000" w:themeColor="text1"/>
                <w:sz w:val="17"/>
                <w:szCs w:val="17"/>
              </w:rPr>
            </w:pPr>
            <w:r w:rsidRPr="006955D6">
              <w:rPr>
                <w:rFonts w:eastAsiaTheme="minorEastAsia"/>
                <w:color w:val="000000" w:themeColor="text1"/>
                <w:sz w:val="17"/>
                <w:szCs w:val="17"/>
              </w:rPr>
              <w:t>LGIM will continue to engage with our investee companies, publicly advocate our position on this issue and monitor company and market-level progress.</w:t>
            </w:r>
          </w:p>
        </w:tc>
      </w:tr>
      <w:tr w:rsidR="00A115E9" w:rsidRPr="001D6D0A" w14:paraId="6253694E" w14:textId="77777777" w:rsidTr="5BEACF45">
        <w:trPr>
          <w:trHeight w:val="401"/>
        </w:trPr>
        <w:tc>
          <w:tcPr>
            <w:tcW w:w="2830" w:type="dxa"/>
            <w:tcBorders>
              <w:top w:val="nil"/>
              <w:left w:val="single" w:sz="4" w:space="0" w:color="auto"/>
              <w:bottom w:val="single" w:sz="4" w:space="0" w:color="auto"/>
              <w:right w:val="single" w:sz="4" w:space="0" w:color="auto"/>
            </w:tcBorders>
            <w:shd w:val="clear" w:color="auto" w:fill="D9D9D9" w:themeFill="background1" w:themeFillShade="D9"/>
            <w:hideMark/>
          </w:tcPr>
          <w:p w14:paraId="299E1586" w14:textId="77777777" w:rsidR="00A115E9" w:rsidRPr="00744F7F" w:rsidRDefault="00A115E9" w:rsidP="00C074C5">
            <w:pPr>
              <w:spacing w:after="0" w:line="240" w:lineRule="auto"/>
              <w:ind w:right="95"/>
              <w:rPr>
                <w:rFonts w:eastAsia="Times New Roman" w:cstheme="minorHAnsi"/>
                <w:sz w:val="17"/>
                <w:szCs w:val="17"/>
                <w:lang w:eastAsia="en-GB"/>
              </w:rPr>
            </w:pPr>
            <w:r w:rsidRPr="00744F7F">
              <w:rPr>
                <w:rFonts w:eastAsia="Times New Roman" w:cstheme="minorHAnsi"/>
                <w:sz w:val="17"/>
                <w:szCs w:val="17"/>
                <w:lang w:eastAsia="en-GB"/>
              </w:rPr>
              <w:t>On which criteria have you assessed this vote to be "most significant"?</w:t>
            </w:r>
          </w:p>
        </w:tc>
        <w:tc>
          <w:tcPr>
            <w:tcW w:w="6379" w:type="dxa"/>
            <w:tcBorders>
              <w:top w:val="nil"/>
              <w:left w:val="single" w:sz="4" w:space="0" w:color="auto"/>
              <w:bottom w:val="single" w:sz="4" w:space="0" w:color="auto"/>
              <w:right w:val="single" w:sz="4" w:space="0" w:color="auto"/>
            </w:tcBorders>
            <w:shd w:val="clear" w:color="auto" w:fill="FFFFFF" w:themeFill="background1"/>
            <w:hideMark/>
          </w:tcPr>
          <w:p w14:paraId="4F220EAD" w14:textId="23DE5925" w:rsidR="5BEACF45" w:rsidRDefault="00FC232C" w:rsidP="5BEACF45">
            <w:pPr>
              <w:spacing w:after="0"/>
              <w:rPr>
                <w:rFonts w:eastAsiaTheme="minorEastAsia"/>
                <w:color w:val="000000" w:themeColor="text1"/>
                <w:sz w:val="17"/>
                <w:szCs w:val="17"/>
              </w:rPr>
            </w:pPr>
            <w:r w:rsidRPr="00FC232C">
              <w:rPr>
                <w:rFonts w:eastAsiaTheme="minorEastAsia"/>
                <w:color w:val="000000" w:themeColor="text1"/>
                <w:sz w:val="17"/>
                <w:szCs w:val="17"/>
              </w:rPr>
              <w:t>Thematic - Climate: LGIM is publicly supportive of so called "Say on Climate" votes.  We expect transition plans put forward by companies to be both ambitious and credibly aligned to a 1.5</w:t>
            </w:r>
            <w:r w:rsidR="004913F3" w:rsidRPr="001B553D">
              <w:rPr>
                <w:rFonts w:eastAsiaTheme="minorEastAsia"/>
                <w:color w:val="000000" w:themeColor="text1"/>
                <w:sz w:val="17"/>
                <w:szCs w:val="17"/>
              </w:rPr>
              <w:t>°</w:t>
            </w:r>
            <w:r w:rsidRPr="00FC232C">
              <w:rPr>
                <w:rFonts w:eastAsiaTheme="minorEastAsia"/>
                <w:color w:val="000000" w:themeColor="text1"/>
                <w:sz w:val="17"/>
                <w:szCs w:val="17"/>
              </w:rPr>
              <w:t>C scenario.  Given the high-profile nature of such votes, LGIM deem such votes to be significant, particularly when LGIM votes against the transition plan.</w:t>
            </w:r>
          </w:p>
        </w:tc>
      </w:tr>
    </w:tbl>
    <w:p w14:paraId="1ABE6E09" w14:textId="6150265B" w:rsidR="00A115E9" w:rsidRDefault="00A115E9" w:rsidP="00FD4C65">
      <w:pPr>
        <w:spacing w:after="120" w:line="264" w:lineRule="auto"/>
        <w:ind w:right="-46"/>
      </w:pPr>
    </w:p>
    <w:tbl>
      <w:tblPr>
        <w:tblW w:w="9209" w:type="dxa"/>
        <w:tblLook w:val="04A0" w:firstRow="1" w:lastRow="0" w:firstColumn="1" w:lastColumn="0" w:noHBand="0" w:noVBand="1"/>
      </w:tblPr>
      <w:tblGrid>
        <w:gridCol w:w="2830"/>
        <w:gridCol w:w="6379"/>
      </w:tblGrid>
      <w:tr w:rsidR="00091F24" w:rsidRPr="001D6D0A" w14:paraId="066D28BF" w14:textId="77777777" w:rsidTr="5BEACF45">
        <w:trPr>
          <w:trHeight w:val="200"/>
        </w:trPr>
        <w:tc>
          <w:tcPr>
            <w:tcW w:w="9209" w:type="dxa"/>
            <w:gridSpan w:val="2"/>
            <w:tcBorders>
              <w:top w:val="single" w:sz="4" w:space="0" w:color="auto"/>
              <w:left w:val="single" w:sz="4" w:space="0" w:color="auto"/>
              <w:bottom w:val="single" w:sz="4" w:space="0" w:color="auto"/>
              <w:right w:val="single" w:sz="4" w:space="0" w:color="auto"/>
            </w:tcBorders>
            <w:shd w:val="clear" w:color="auto" w:fill="D81668"/>
            <w:vAlign w:val="bottom"/>
            <w:hideMark/>
          </w:tcPr>
          <w:p w14:paraId="16EFBE88" w14:textId="2FFDDC3C" w:rsidR="00091F24" w:rsidRPr="00675B45" w:rsidRDefault="00091F24" w:rsidP="00C074C5">
            <w:pPr>
              <w:spacing w:after="0" w:line="240" w:lineRule="auto"/>
              <w:ind w:right="95"/>
              <w:rPr>
                <w:rFonts w:eastAsia="Times New Roman" w:cstheme="minorHAnsi"/>
                <w:b/>
                <w:bCs/>
                <w:color w:val="FFFFFF"/>
                <w:sz w:val="17"/>
                <w:szCs w:val="17"/>
                <w:lang w:eastAsia="en-GB"/>
              </w:rPr>
            </w:pPr>
            <w:r>
              <w:rPr>
                <w:rFonts w:eastAsia="Times New Roman" w:cstheme="minorHAnsi"/>
                <w:b/>
                <w:bCs/>
                <w:color w:val="FFFFFF"/>
                <w:sz w:val="17"/>
                <w:szCs w:val="17"/>
                <w:lang w:eastAsia="en-GB"/>
              </w:rPr>
              <w:t xml:space="preserve">Vote </w:t>
            </w:r>
            <w:r w:rsidR="0038163F">
              <w:rPr>
                <w:rFonts w:eastAsia="Times New Roman" w:cstheme="minorHAnsi"/>
                <w:b/>
                <w:bCs/>
                <w:color w:val="FFFFFF"/>
                <w:sz w:val="17"/>
                <w:szCs w:val="17"/>
                <w:lang w:eastAsia="en-GB"/>
              </w:rPr>
              <w:t>2</w:t>
            </w:r>
          </w:p>
        </w:tc>
      </w:tr>
      <w:tr w:rsidR="00091F24" w:rsidRPr="001D6D0A" w14:paraId="55BB4786" w14:textId="77777777" w:rsidTr="5BEACF45">
        <w:trPr>
          <w:trHeight w:val="200"/>
        </w:trPr>
        <w:tc>
          <w:tcPr>
            <w:tcW w:w="2830" w:type="dxa"/>
            <w:tcBorders>
              <w:top w:val="nil"/>
              <w:left w:val="single" w:sz="4" w:space="0" w:color="auto"/>
              <w:bottom w:val="single" w:sz="4" w:space="0" w:color="auto"/>
              <w:right w:val="single" w:sz="4" w:space="0" w:color="auto"/>
            </w:tcBorders>
            <w:shd w:val="clear" w:color="auto" w:fill="D9D9D9" w:themeFill="background1" w:themeFillShade="D9"/>
            <w:hideMark/>
          </w:tcPr>
          <w:p w14:paraId="24C0E9DA" w14:textId="77777777" w:rsidR="00091F24" w:rsidRPr="00744F7F" w:rsidRDefault="00091F24" w:rsidP="00C074C5">
            <w:pPr>
              <w:spacing w:after="0" w:line="240" w:lineRule="auto"/>
              <w:ind w:right="95"/>
              <w:rPr>
                <w:rFonts w:eastAsia="Times New Roman" w:cstheme="minorHAnsi"/>
                <w:sz w:val="17"/>
                <w:szCs w:val="17"/>
                <w:lang w:eastAsia="en-GB"/>
              </w:rPr>
            </w:pPr>
            <w:r w:rsidRPr="00744F7F">
              <w:rPr>
                <w:rFonts w:eastAsia="Times New Roman" w:cstheme="minorHAnsi"/>
                <w:sz w:val="17"/>
                <w:szCs w:val="17"/>
                <w:lang w:eastAsia="en-GB"/>
              </w:rPr>
              <w:t>Company name</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4243CBC8" w14:textId="2748A087" w:rsidR="5BEACF45" w:rsidRDefault="00DA4386" w:rsidP="5BEACF45">
            <w:pPr>
              <w:spacing w:after="0"/>
              <w:rPr>
                <w:rFonts w:eastAsiaTheme="minorEastAsia"/>
                <w:color w:val="000000" w:themeColor="text1"/>
                <w:sz w:val="17"/>
                <w:szCs w:val="17"/>
              </w:rPr>
            </w:pPr>
            <w:r w:rsidRPr="00DA4386">
              <w:rPr>
                <w:rFonts w:eastAsiaTheme="minorEastAsia"/>
                <w:color w:val="000000" w:themeColor="text1"/>
                <w:sz w:val="17"/>
                <w:szCs w:val="17"/>
              </w:rPr>
              <w:t>Apple Inc.</w:t>
            </w:r>
          </w:p>
        </w:tc>
      </w:tr>
      <w:tr w:rsidR="00091F24" w:rsidRPr="001D6D0A" w14:paraId="73BB24E3" w14:textId="77777777" w:rsidTr="5BEACF45">
        <w:trPr>
          <w:trHeight w:val="200"/>
        </w:trPr>
        <w:tc>
          <w:tcPr>
            <w:tcW w:w="2830" w:type="dxa"/>
            <w:tcBorders>
              <w:top w:val="nil"/>
              <w:left w:val="single" w:sz="4" w:space="0" w:color="auto"/>
              <w:bottom w:val="single" w:sz="4" w:space="0" w:color="auto"/>
              <w:right w:val="single" w:sz="4" w:space="0" w:color="auto"/>
            </w:tcBorders>
            <w:shd w:val="clear" w:color="auto" w:fill="D9D9D9" w:themeFill="background1" w:themeFillShade="D9"/>
            <w:hideMark/>
          </w:tcPr>
          <w:p w14:paraId="0CB3D279" w14:textId="77777777" w:rsidR="00091F24" w:rsidRPr="00744F7F" w:rsidRDefault="00091F24" w:rsidP="00C074C5">
            <w:pPr>
              <w:spacing w:after="0" w:line="240" w:lineRule="auto"/>
              <w:ind w:right="95"/>
              <w:rPr>
                <w:rFonts w:eastAsia="Times New Roman" w:cstheme="minorHAnsi"/>
                <w:sz w:val="17"/>
                <w:szCs w:val="17"/>
                <w:lang w:eastAsia="en-GB"/>
              </w:rPr>
            </w:pPr>
            <w:r w:rsidRPr="00744F7F">
              <w:rPr>
                <w:rFonts w:eastAsia="Times New Roman" w:cstheme="minorHAnsi"/>
                <w:sz w:val="17"/>
                <w:szCs w:val="17"/>
                <w:lang w:eastAsia="en-GB"/>
              </w:rPr>
              <w:t>Date of vote</w:t>
            </w:r>
          </w:p>
        </w:tc>
        <w:tc>
          <w:tcPr>
            <w:tcW w:w="637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53280AD" w14:textId="0522A4B4" w:rsidR="5BEACF45" w:rsidRDefault="00975184" w:rsidP="5BEACF45">
            <w:pPr>
              <w:spacing w:after="0"/>
              <w:rPr>
                <w:rFonts w:eastAsiaTheme="minorEastAsia"/>
                <w:color w:val="000000" w:themeColor="text1"/>
                <w:sz w:val="17"/>
                <w:szCs w:val="17"/>
              </w:rPr>
            </w:pPr>
            <w:r w:rsidRPr="00975184">
              <w:rPr>
                <w:rFonts w:eastAsiaTheme="minorEastAsia"/>
                <w:color w:val="000000" w:themeColor="text1"/>
                <w:sz w:val="17"/>
                <w:szCs w:val="17"/>
              </w:rPr>
              <w:t>2024-02-28</w:t>
            </w:r>
          </w:p>
        </w:tc>
      </w:tr>
      <w:tr w:rsidR="00091F24" w:rsidRPr="001D6D0A" w14:paraId="266A48ED" w14:textId="77777777" w:rsidTr="5BEACF45">
        <w:trPr>
          <w:trHeight w:val="400"/>
        </w:trPr>
        <w:tc>
          <w:tcPr>
            <w:tcW w:w="2830" w:type="dxa"/>
            <w:tcBorders>
              <w:top w:val="nil"/>
              <w:left w:val="single" w:sz="4" w:space="0" w:color="auto"/>
              <w:bottom w:val="single" w:sz="4" w:space="0" w:color="auto"/>
              <w:right w:val="single" w:sz="4" w:space="0" w:color="auto"/>
            </w:tcBorders>
            <w:shd w:val="clear" w:color="auto" w:fill="D9D9D9" w:themeFill="background1" w:themeFillShade="D9"/>
            <w:hideMark/>
          </w:tcPr>
          <w:p w14:paraId="6D8316B7" w14:textId="77777777" w:rsidR="00091F24" w:rsidRPr="00744F7F" w:rsidRDefault="00091F24" w:rsidP="00C074C5">
            <w:pPr>
              <w:spacing w:after="0" w:line="240" w:lineRule="auto"/>
              <w:ind w:right="95"/>
              <w:rPr>
                <w:rFonts w:eastAsia="Times New Roman" w:cstheme="minorHAnsi"/>
                <w:sz w:val="17"/>
                <w:szCs w:val="17"/>
                <w:lang w:eastAsia="en-GB"/>
              </w:rPr>
            </w:pPr>
            <w:r>
              <w:rPr>
                <w:rFonts w:eastAsia="Times New Roman" w:cstheme="minorHAnsi"/>
                <w:sz w:val="17"/>
                <w:szCs w:val="17"/>
                <w:lang w:eastAsia="en-GB"/>
              </w:rPr>
              <w:t>S</w:t>
            </w:r>
            <w:r w:rsidRPr="000165AA">
              <w:rPr>
                <w:rFonts w:eastAsia="Times New Roman" w:cstheme="minorHAnsi"/>
                <w:sz w:val="17"/>
                <w:szCs w:val="17"/>
                <w:lang w:eastAsia="en-GB"/>
              </w:rPr>
              <w:t>ize of fund's holding as at the date of the vote (as % of portfolio)</w:t>
            </w:r>
          </w:p>
        </w:tc>
        <w:tc>
          <w:tcPr>
            <w:tcW w:w="6379" w:type="dxa"/>
            <w:tcBorders>
              <w:top w:val="nil"/>
              <w:left w:val="single" w:sz="4" w:space="0" w:color="auto"/>
              <w:bottom w:val="single" w:sz="4" w:space="0" w:color="auto"/>
              <w:right w:val="single" w:sz="4" w:space="0" w:color="auto"/>
            </w:tcBorders>
            <w:shd w:val="clear" w:color="auto" w:fill="FFFFFF" w:themeFill="background1"/>
            <w:noWrap/>
            <w:hideMark/>
          </w:tcPr>
          <w:p w14:paraId="64F24D41" w14:textId="20B4545D" w:rsidR="5BEACF45" w:rsidRDefault="00975184" w:rsidP="5BEACF45">
            <w:pPr>
              <w:spacing w:after="0"/>
              <w:rPr>
                <w:rFonts w:eastAsiaTheme="minorEastAsia"/>
                <w:color w:val="000000" w:themeColor="text1"/>
                <w:sz w:val="17"/>
                <w:szCs w:val="17"/>
              </w:rPr>
            </w:pPr>
            <w:r w:rsidRPr="00975184">
              <w:rPr>
                <w:rFonts w:eastAsiaTheme="minorEastAsia"/>
                <w:color w:val="000000" w:themeColor="text1"/>
                <w:sz w:val="17"/>
                <w:szCs w:val="17"/>
              </w:rPr>
              <w:t>0.393444</w:t>
            </w:r>
          </w:p>
        </w:tc>
      </w:tr>
      <w:tr w:rsidR="00091F24" w:rsidRPr="001D6D0A" w14:paraId="649BBB51" w14:textId="77777777" w:rsidTr="00AE72A5">
        <w:trPr>
          <w:trHeight w:val="483"/>
        </w:trPr>
        <w:tc>
          <w:tcPr>
            <w:tcW w:w="2830" w:type="dxa"/>
            <w:tcBorders>
              <w:top w:val="nil"/>
              <w:left w:val="single" w:sz="4" w:space="0" w:color="auto"/>
              <w:bottom w:val="single" w:sz="4" w:space="0" w:color="auto"/>
              <w:right w:val="single" w:sz="4" w:space="0" w:color="auto"/>
            </w:tcBorders>
            <w:shd w:val="clear" w:color="auto" w:fill="D9D9D9" w:themeFill="background1" w:themeFillShade="D9"/>
            <w:hideMark/>
          </w:tcPr>
          <w:p w14:paraId="567C736E" w14:textId="77777777" w:rsidR="00091F24" w:rsidRPr="00744F7F" w:rsidRDefault="00091F24" w:rsidP="00C074C5">
            <w:pPr>
              <w:spacing w:after="0" w:line="240" w:lineRule="auto"/>
              <w:ind w:right="95"/>
              <w:rPr>
                <w:rFonts w:eastAsia="Times New Roman" w:cstheme="minorHAnsi"/>
                <w:sz w:val="17"/>
                <w:szCs w:val="17"/>
                <w:lang w:eastAsia="en-GB"/>
              </w:rPr>
            </w:pPr>
            <w:r w:rsidRPr="00744F7F">
              <w:rPr>
                <w:rFonts w:eastAsia="Times New Roman" w:cstheme="minorHAnsi"/>
                <w:sz w:val="17"/>
                <w:szCs w:val="17"/>
                <w:lang w:eastAsia="en-GB"/>
              </w:rPr>
              <w:t>Summary of the resolution</w:t>
            </w:r>
          </w:p>
        </w:tc>
        <w:tc>
          <w:tcPr>
            <w:tcW w:w="6379" w:type="dxa"/>
            <w:tcBorders>
              <w:top w:val="nil"/>
              <w:left w:val="single" w:sz="4" w:space="0" w:color="auto"/>
              <w:bottom w:val="single" w:sz="4" w:space="0" w:color="auto"/>
              <w:right w:val="single" w:sz="4" w:space="0" w:color="auto"/>
            </w:tcBorders>
            <w:shd w:val="clear" w:color="auto" w:fill="FFFFFF" w:themeFill="background1"/>
            <w:hideMark/>
          </w:tcPr>
          <w:p w14:paraId="477148D7" w14:textId="433B9485" w:rsidR="5BEACF45" w:rsidRDefault="00975184" w:rsidP="5BEACF45">
            <w:pPr>
              <w:spacing w:after="0"/>
              <w:rPr>
                <w:rFonts w:eastAsiaTheme="minorEastAsia"/>
                <w:color w:val="000000" w:themeColor="text1"/>
                <w:sz w:val="17"/>
                <w:szCs w:val="17"/>
              </w:rPr>
            </w:pPr>
            <w:r w:rsidRPr="00975184">
              <w:rPr>
                <w:rFonts w:eastAsiaTheme="minorEastAsia"/>
                <w:color w:val="000000" w:themeColor="text1"/>
                <w:sz w:val="17"/>
                <w:szCs w:val="17"/>
              </w:rPr>
              <w:t xml:space="preserve">Report on Risks of Omitting Viewpoint and Ideological Diversity from EEO </w:t>
            </w:r>
            <w:r w:rsidR="00717808">
              <w:rPr>
                <w:rFonts w:eastAsiaTheme="minorEastAsia"/>
                <w:color w:val="000000" w:themeColor="text1"/>
                <w:sz w:val="17"/>
                <w:szCs w:val="17"/>
              </w:rPr>
              <w:t>(</w:t>
            </w:r>
            <w:r w:rsidR="00540FE6">
              <w:rPr>
                <w:rFonts w:eastAsiaTheme="minorEastAsia"/>
                <w:color w:val="000000" w:themeColor="text1"/>
                <w:sz w:val="17"/>
                <w:szCs w:val="17"/>
              </w:rPr>
              <w:t xml:space="preserve">Employer </w:t>
            </w:r>
            <w:r w:rsidR="00717808">
              <w:rPr>
                <w:rFonts w:eastAsiaTheme="minorEastAsia"/>
                <w:color w:val="000000" w:themeColor="text1"/>
                <w:sz w:val="17"/>
                <w:szCs w:val="17"/>
              </w:rPr>
              <w:t>Equal</w:t>
            </w:r>
            <w:r w:rsidR="00540FE6">
              <w:rPr>
                <w:rFonts w:eastAsiaTheme="minorEastAsia"/>
                <w:color w:val="000000" w:themeColor="text1"/>
                <w:sz w:val="17"/>
                <w:szCs w:val="17"/>
              </w:rPr>
              <w:t xml:space="preserve"> Opportunity) </w:t>
            </w:r>
            <w:r w:rsidRPr="00975184">
              <w:rPr>
                <w:rFonts w:eastAsiaTheme="minorEastAsia"/>
                <w:color w:val="000000" w:themeColor="text1"/>
                <w:sz w:val="17"/>
                <w:szCs w:val="17"/>
              </w:rPr>
              <w:t>Policy</w:t>
            </w:r>
          </w:p>
        </w:tc>
      </w:tr>
      <w:tr w:rsidR="00091F24" w:rsidRPr="001D6D0A" w14:paraId="5C027A15" w14:textId="77777777" w:rsidTr="5BEACF45">
        <w:trPr>
          <w:trHeight w:val="200"/>
        </w:trPr>
        <w:tc>
          <w:tcPr>
            <w:tcW w:w="2830" w:type="dxa"/>
            <w:tcBorders>
              <w:top w:val="nil"/>
              <w:left w:val="single" w:sz="4" w:space="0" w:color="auto"/>
              <w:bottom w:val="single" w:sz="4" w:space="0" w:color="auto"/>
              <w:right w:val="single" w:sz="4" w:space="0" w:color="auto"/>
            </w:tcBorders>
            <w:shd w:val="clear" w:color="auto" w:fill="D9D9D9" w:themeFill="background1" w:themeFillShade="D9"/>
            <w:hideMark/>
          </w:tcPr>
          <w:p w14:paraId="456DF75B" w14:textId="77777777" w:rsidR="00091F24" w:rsidRPr="00744F7F" w:rsidRDefault="00091F24" w:rsidP="00C074C5">
            <w:pPr>
              <w:spacing w:after="0" w:line="240" w:lineRule="auto"/>
              <w:ind w:right="95"/>
              <w:rPr>
                <w:rFonts w:eastAsia="Times New Roman" w:cstheme="minorHAnsi"/>
                <w:sz w:val="17"/>
                <w:szCs w:val="17"/>
                <w:lang w:eastAsia="en-GB"/>
              </w:rPr>
            </w:pPr>
            <w:r w:rsidRPr="00744F7F">
              <w:rPr>
                <w:rFonts w:eastAsia="Times New Roman" w:cstheme="minorHAnsi"/>
                <w:sz w:val="17"/>
                <w:szCs w:val="17"/>
                <w:lang w:eastAsia="en-GB"/>
              </w:rPr>
              <w:t>How you voted</w:t>
            </w:r>
          </w:p>
        </w:tc>
        <w:tc>
          <w:tcPr>
            <w:tcW w:w="6379" w:type="dxa"/>
            <w:tcBorders>
              <w:top w:val="nil"/>
              <w:left w:val="single" w:sz="4" w:space="0" w:color="auto"/>
              <w:bottom w:val="single" w:sz="4" w:space="0" w:color="auto"/>
              <w:right w:val="single" w:sz="4" w:space="0" w:color="auto"/>
            </w:tcBorders>
            <w:shd w:val="clear" w:color="auto" w:fill="FFFFFF" w:themeFill="background1"/>
            <w:noWrap/>
            <w:hideMark/>
          </w:tcPr>
          <w:p w14:paraId="0966DD82" w14:textId="4C689C29" w:rsidR="5BEACF45" w:rsidRDefault="5BEACF45" w:rsidP="5BEACF45">
            <w:pPr>
              <w:spacing w:after="0"/>
              <w:rPr>
                <w:rFonts w:eastAsiaTheme="minorEastAsia"/>
                <w:color w:val="000000" w:themeColor="text1"/>
                <w:sz w:val="17"/>
                <w:szCs w:val="17"/>
              </w:rPr>
            </w:pPr>
            <w:r w:rsidRPr="5BEACF45">
              <w:rPr>
                <w:rFonts w:eastAsiaTheme="minorEastAsia"/>
                <w:color w:val="000000" w:themeColor="text1"/>
                <w:sz w:val="17"/>
                <w:szCs w:val="17"/>
              </w:rPr>
              <w:t>Against (against management recommendation)</w:t>
            </w:r>
          </w:p>
        </w:tc>
      </w:tr>
      <w:tr w:rsidR="0043716F" w:rsidRPr="001D6D0A" w14:paraId="12F84E1D" w14:textId="77777777" w:rsidTr="5BEACF45">
        <w:trPr>
          <w:trHeight w:val="400"/>
        </w:trPr>
        <w:tc>
          <w:tcPr>
            <w:tcW w:w="2830" w:type="dxa"/>
            <w:tcBorders>
              <w:top w:val="nil"/>
              <w:left w:val="single" w:sz="4" w:space="0" w:color="auto"/>
              <w:bottom w:val="single" w:sz="4" w:space="0" w:color="auto"/>
              <w:right w:val="single" w:sz="4" w:space="0" w:color="auto"/>
            </w:tcBorders>
            <w:shd w:val="clear" w:color="auto" w:fill="D9D9D9" w:themeFill="background1" w:themeFillShade="D9"/>
            <w:hideMark/>
          </w:tcPr>
          <w:p w14:paraId="661256F0" w14:textId="15BAB69A" w:rsidR="0043716F" w:rsidRPr="00744F7F" w:rsidRDefault="0043716F" w:rsidP="0043716F">
            <w:pPr>
              <w:spacing w:after="0" w:line="240" w:lineRule="auto"/>
              <w:ind w:right="95"/>
              <w:rPr>
                <w:rFonts w:eastAsia="Times New Roman" w:cstheme="minorHAnsi"/>
                <w:sz w:val="17"/>
                <w:szCs w:val="17"/>
                <w:lang w:eastAsia="en-GB"/>
              </w:rPr>
            </w:pPr>
            <w:r>
              <w:rPr>
                <w:rFonts w:eastAsia="Times New Roman" w:cstheme="minorHAnsi"/>
                <w:sz w:val="17"/>
                <w:szCs w:val="17"/>
                <w:lang w:eastAsia="en-GB"/>
              </w:rPr>
              <w:t>D</w:t>
            </w:r>
            <w:r w:rsidRPr="00744F7F">
              <w:rPr>
                <w:rFonts w:eastAsia="Times New Roman" w:cstheme="minorHAnsi"/>
                <w:sz w:val="17"/>
                <w:szCs w:val="17"/>
                <w:lang w:eastAsia="en-GB"/>
              </w:rPr>
              <w:t>id you communicate your intent to the company ahead of the vote?</w:t>
            </w:r>
          </w:p>
        </w:tc>
        <w:tc>
          <w:tcPr>
            <w:tcW w:w="6379" w:type="dxa"/>
            <w:tcBorders>
              <w:top w:val="nil"/>
              <w:left w:val="single" w:sz="4" w:space="0" w:color="auto"/>
              <w:bottom w:val="single" w:sz="4" w:space="0" w:color="auto"/>
              <w:right w:val="single" w:sz="4" w:space="0" w:color="auto"/>
            </w:tcBorders>
            <w:shd w:val="clear" w:color="auto" w:fill="FFFFFF" w:themeFill="background1"/>
            <w:noWrap/>
            <w:hideMark/>
          </w:tcPr>
          <w:p w14:paraId="5B1FF76D" w14:textId="7114B15E" w:rsidR="5BEACF45" w:rsidRDefault="5BEACF45" w:rsidP="5BEACF45">
            <w:pPr>
              <w:spacing w:after="0"/>
              <w:rPr>
                <w:rFonts w:eastAsiaTheme="minorEastAsia"/>
                <w:color w:val="000000" w:themeColor="text1"/>
                <w:sz w:val="17"/>
                <w:szCs w:val="17"/>
              </w:rPr>
            </w:pPr>
            <w:r w:rsidRPr="5BEACF45">
              <w:rPr>
                <w:rFonts w:eastAsiaTheme="minorEastAsia"/>
                <w:color w:val="000000" w:themeColor="text1"/>
                <w:sz w:val="17"/>
                <w:szCs w:val="17"/>
              </w:rPr>
              <w:t>LGIM publicly communicates its vote instructions on its website the day after the company meeting, with a rationale for all votes against management. It is our policy not to engage with our investee companies in the three weeks prior to an AGM as our engagement is not limited to shareholder meeting topics.</w:t>
            </w:r>
          </w:p>
        </w:tc>
      </w:tr>
      <w:tr w:rsidR="00091F24" w:rsidRPr="001D6D0A" w14:paraId="4CDE9545" w14:textId="77777777" w:rsidTr="00585466">
        <w:trPr>
          <w:trHeight w:val="1098"/>
        </w:trPr>
        <w:tc>
          <w:tcPr>
            <w:tcW w:w="2830" w:type="dxa"/>
            <w:tcBorders>
              <w:top w:val="nil"/>
              <w:left w:val="single" w:sz="4" w:space="0" w:color="auto"/>
              <w:bottom w:val="single" w:sz="4" w:space="0" w:color="auto"/>
              <w:right w:val="single" w:sz="4" w:space="0" w:color="auto"/>
            </w:tcBorders>
            <w:shd w:val="clear" w:color="auto" w:fill="D9D9D9" w:themeFill="background1" w:themeFillShade="D9"/>
            <w:hideMark/>
          </w:tcPr>
          <w:p w14:paraId="5AD971BF" w14:textId="77777777" w:rsidR="00091F24" w:rsidRPr="00744F7F" w:rsidRDefault="00091F24" w:rsidP="00C074C5">
            <w:pPr>
              <w:spacing w:after="0" w:line="240" w:lineRule="auto"/>
              <w:ind w:right="95"/>
              <w:rPr>
                <w:rFonts w:eastAsia="Times New Roman" w:cstheme="minorHAnsi"/>
                <w:sz w:val="17"/>
                <w:szCs w:val="17"/>
                <w:lang w:eastAsia="en-GB"/>
              </w:rPr>
            </w:pPr>
            <w:r w:rsidRPr="00744F7F">
              <w:rPr>
                <w:rFonts w:eastAsia="Times New Roman" w:cstheme="minorHAnsi"/>
                <w:sz w:val="17"/>
                <w:szCs w:val="17"/>
                <w:lang w:eastAsia="en-GB"/>
              </w:rPr>
              <w:t>Rationale for the voting decision</w:t>
            </w:r>
          </w:p>
        </w:tc>
        <w:tc>
          <w:tcPr>
            <w:tcW w:w="6379" w:type="dxa"/>
            <w:tcBorders>
              <w:top w:val="nil"/>
              <w:left w:val="single" w:sz="4" w:space="0" w:color="auto"/>
              <w:bottom w:val="single" w:sz="4" w:space="0" w:color="auto"/>
              <w:right w:val="single" w:sz="4" w:space="0" w:color="auto"/>
            </w:tcBorders>
            <w:shd w:val="clear" w:color="auto" w:fill="FFFFFF" w:themeFill="background1"/>
            <w:hideMark/>
          </w:tcPr>
          <w:p w14:paraId="5E1775DD" w14:textId="7D41561A" w:rsidR="5BEACF45" w:rsidRDefault="00F0763B" w:rsidP="5BEACF45">
            <w:pPr>
              <w:spacing w:after="0"/>
              <w:rPr>
                <w:rFonts w:eastAsiaTheme="minorEastAsia"/>
                <w:color w:val="000000" w:themeColor="text1"/>
                <w:sz w:val="17"/>
                <w:szCs w:val="17"/>
              </w:rPr>
            </w:pPr>
            <w:r w:rsidRPr="00F0763B">
              <w:rPr>
                <w:rFonts w:eastAsiaTheme="minorEastAsia"/>
                <w:color w:val="000000" w:themeColor="text1"/>
                <w:sz w:val="17"/>
                <w:szCs w:val="17"/>
              </w:rPr>
              <w:t xml:space="preserve">Shareholder Resolution - Environmental and Social: </w:t>
            </w:r>
            <w:r w:rsidR="00F67D88">
              <w:rPr>
                <w:rFonts w:eastAsiaTheme="minorEastAsia"/>
                <w:color w:val="000000" w:themeColor="text1"/>
                <w:sz w:val="17"/>
                <w:szCs w:val="17"/>
              </w:rPr>
              <w:t xml:space="preserve">While the company appears to be providing </w:t>
            </w:r>
            <w:r w:rsidR="00802027">
              <w:rPr>
                <w:rFonts w:eastAsiaTheme="minorEastAsia"/>
                <w:color w:val="000000" w:themeColor="text1"/>
                <w:sz w:val="17"/>
                <w:szCs w:val="17"/>
              </w:rPr>
              <w:t>shareholders sufficient disclosure around its diversity and inclusion efforts</w:t>
            </w:r>
            <w:r w:rsidR="00E003C1">
              <w:rPr>
                <w:rFonts w:eastAsiaTheme="minorEastAsia"/>
                <w:color w:val="000000" w:themeColor="text1"/>
                <w:sz w:val="17"/>
                <w:szCs w:val="17"/>
              </w:rPr>
              <w:t xml:space="preserve"> and non-discrimination policies</w:t>
            </w:r>
            <w:r w:rsidR="0034617D">
              <w:rPr>
                <w:rFonts w:eastAsiaTheme="minorEastAsia"/>
                <w:color w:val="000000" w:themeColor="text1"/>
                <w:sz w:val="17"/>
                <w:szCs w:val="17"/>
              </w:rPr>
              <w:t xml:space="preserve">, we </w:t>
            </w:r>
            <w:r w:rsidR="00F21E07">
              <w:rPr>
                <w:rFonts w:eastAsiaTheme="minorEastAsia"/>
                <w:color w:val="000000" w:themeColor="text1"/>
                <w:sz w:val="17"/>
                <w:szCs w:val="17"/>
              </w:rPr>
              <w:t xml:space="preserve">felt </w:t>
            </w:r>
            <w:r w:rsidR="00F67D88">
              <w:rPr>
                <w:rFonts w:eastAsiaTheme="minorEastAsia"/>
                <w:color w:val="000000" w:themeColor="text1"/>
                <w:sz w:val="17"/>
                <w:szCs w:val="17"/>
              </w:rPr>
              <w:t>a</w:t>
            </w:r>
            <w:r w:rsidRPr="00F0763B">
              <w:rPr>
                <w:rFonts w:eastAsiaTheme="minorEastAsia"/>
                <w:color w:val="000000" w:themeColor="text1"/>
                <w:sz w:val="17"/>
                <w:szCs w:val="17"/>
              </w:rPr>
              <w:t xml:space="preserve"> vote AGAINST this proposal is warranted, </w:t>
            </w:r>
            <w:r w:rsidR="0034617D">
              <w:rPr>
                <w:rFonts w:eastAsiaTheme="minorEastAsia"/>
                <w:color w:val="000000" w:themeColor="text1"/>
                <w:sz w:val="17"/>
                <w:szCs w:val="17"/>
              </w:rPr>
              <w:t xml:space="preserve">given </w:t>
            </w:r>
            <w:r w:rsidR="004E7DEF">
              <w:rPr>
                <w:rFonts w:eastAsiaTheme="minorEastAsia"/>
                <w:color w:val="000000" w:themeColor="text1"/>
                <w:sz w:val="17"/>
                <w:szCs w:val="17"/>
              </w:rPr>
              <w:t xml:space="preserve">the inclusion of </w:t>
            </w:r>
            <w:r w:rsidR="0034617D">
              <w:rPr>
                <w:rFonts w:eastAsiaTheme="minorEastAsia"/>
                <w:color w:val="000000" w:themeColor="text1"/>
                <w:sz w:val="17"/>
                <w:szCs w:val="17"/>
              </w:rPr>
              <w:t xml:space="preserve">a </w:t>
            </w:r>
            <w:r w:rsidRPr="00F0763B">
              <w:rPr>
                <w:rFonts w:eastAsiaTheme="minorEastAsia"/>
                <w:color w:val="000000" w:themeColor="text1"/>
                <w:sz w:val="17"/>
                <w:szCs w:val="17"/>
              </w:rPr>
              <w:t xml:space="preserve">viewpoint and ideology in </w:t>
            </w:r>
            <w:r w:rsidR="004E7DEF">
              <w:rPr>
                <w:rFonts w:eastAsiaTheme="minorEastAsia"/>
                <w:color w:val="000000" w:themeColor="text1"/>
                <w:sz w:val="17"/>
                <w:szCs w:val="17"/>
              </w:rPr>
              <w:t xml:space="preserve">the company’s </w:t>
            </w:r>
            <w:r w:rsidRPr="00F0763B">
              <w:rPr>
                <w:rFonts w:eastAsiaTheme="minorEastAsia"/>
                <w:color w:val="000000" w:themeColor="text1"/>
                <w:sz w:val="17"/>
                <w:szCs w:val="17"/>
              </w:rPr>
              <w:t xml:space="preserve">EEO policies </w:t>
            </w:r>
            <w:r w:rsidR="0034617D">
              <w:rPr>
                <w:rFonts w:eastAsiaTheme="minorEastAsia"/>
                <w:color w:val="000000" w:themeColor="text1"/>
                <w:sz w:val="17"/>
                <w:szCs w:val="17"/>
              </w:rPr>
              <w:t xml:space="preserve">that </w:t>
            </w:r>
            <w:r w:rsidRPr="00F0763B">
              <w:rPr>
                <w:rFonts w:eastAsiaTheme="minorEastAsia"/>
                <w:color w:val="000000" w:themeColor="text1"/>
                <w:sz w:val="17"/>
                <w:szCs w:val="17"/>
              </w:rPr>
              <w:t>do not appear to be a standard industry practice.</w:t>
            </w:r>
          </w:p>
        </w:tc>
      </w:tr>
      <w:tr w:rsidR="00091F24" w:rsidRPr="001D6D0A" w14:paraId="6182C822" w14:textId="77777777" w:rsidTr="5BEACF45">
        <w:trPr>
          <w:trHeight w:val="283"/>
        </w:trPr>
        <w:tc>
          <w:tcPr>
            <w:tcW w:w="2830" w:type="dxa"/>
            <w:tcBorders>
              <w:top w:val="nil"/>
              <w:left w:val="single" w:sz="4" w:space="0" w:color="auto"/>
              <w:bottom w:val="single" w:sz="4" w:space="0" w:color="auto"/>
              <w:right w:val="single" w:sz="4" w:space="0" w:color="auto"/>
            </w:tcBorders>
            <w:shd w:val="clear" w:color="auto" w:fill="D9D9D9" w:themeFill="background1" w:themeFillShade="D9"/>
            <w:hideMark/>
          </w:tcPr>
          <w:p w14:paraId="1211483E" w14:textId="77777777" w:rsidR="00091F24" w:rsidRPr="00744F7F" w:rsidRDefault="00091F24" w:rsidP="00C074C5">
            <w:pPr>
              <w:spacing w:after="0" w:line="240" w:lineRule="auto"/>
              <w:ind w:right="95"/>
              <w:rPr>
                <w:rFonts w:eastAsia="Times New Roman" w:cstheme="minorHAnsi"/>
                <w:sz w:val="17"/>
                <w:szCs w:val="17"/>
                <w:lang w:eastAsia="en-GB"/>
              </w:rPr>
            </w:pPr>
            <w:r w:rsidRPr="00744F7F">
              <w:rPr>
                <w:rFonts w:eastAsia="Times New Roman" w:cstheme="minorHAnsi"/>
                <w:sz w:val="17"/>
                <w:szCs w:val="17"/>
                <w:lang w:eastAsia="en-GB"/>
              </w:rPr>
              <w:t>Outcome of the vote</w:t>
            </w:r>
          </w:p>
        </w:tc>
        <w:tc>
          <w:tcPr>
            <w:tcW w:w="6379" w:type="dxa"/>
            <w:tcBorders>
              <w:top w:val="nil"/>
              <w:left w:val="single" w:sz="4" w:space="0" w:color="auto"/>
              <w:bottom w:val="single" w:sz="4" w:space="0" w:color="auto"/>
              <w:right w:val="single" w:sz="4" w:space="0" w:color="auto"/>
            </w:tcBorders>
            <w:shd w:val="clear" w:color="auto" w:fill="FFFFFF" w:themeFill="background1"/>
            <w:hideMark/>
          </w:tcPr>
          <w:p w14:paraId="0B8EE18E" w14:textId="2268749A" w:rsidR="5BEACF45" w:rsidRDefault="00F0763B" w:rsidP="5BEACF45">
            <w:pPr>
              <w:spacing w:after="0"/>
              <w:rPr>
                <w:rFonts w:eastAsiaTheme="minorEastAsia"/>
                <w:color w:val="000000" w:themeColor="text1"/>
                <w:sz w:val="17"/>
                <w:szCs w:val="17"/>
              </w:rPr>
            </w:pPr>
            <w:r>
              <w:rPr>
                <w:rFonts w:eastAsiaTheme="minorEastAsia"/>
                <w:color w:val="000000" w:themeColor="text1"/>
                <w:sz w:val="17"/>
                <w:szCs w:val="17"/>
              </w:rPr>
              <w:t>Fail</w:t>
            </w:r>
          </w:p>
        </w:tc>
      </w:tr>
      <w:tr w:rsidR="00091F24" w:rsidRPr="001D6D0A" w14:paraId="67B37201" w14:textId="77777777" w:rsidTr="5BEACF45">
        <w:trPr>
          <w:trHeight w:val="259"/>
        </w:trPr>
        <w:tc>
          <w:tcPr>
            <w:tcW w:w="2830" w:type="dxa"/>
            <w:tcBorders>
              <w:top w:val="nil"/>
              <w:left w:val="single" w:sz="4" w:space="0" w:color="auto"/>
              <w:bottom w:val="single" w:sz="4" w:space="0" w:color="auto"/>
              <w:right w:val="single" w:sz="4" w:space="0" w:color="auto"/>
            </w:tcBorders>
            <w:shd w:val="clear" w:color="auto" w:fill="D9D9D9" w:themeFill="background1" w:themeFillShade="D9"/>
            <w:hideMark/>
          </w:tcPr>
          <w:p w14:paraId="7144AAF9" w14:textId="77777777" w:rsidR="00091F24" w:rsidRPr="00744F7F" w:rsidRDefault="00091F24" w:rsidP="00C074C5">
            <w:pPr>
              <w:spacing w:after="0" w:line="240" w:lineRule="auto"/>
              <w:ind w:right="95"/>
              <w:rPr>
                <w:rFonts w:eastAsia="Times New Roman" w:cstheme="minorHAnsi"/>
                <w:sz w:val="17"/>
                <w:szCs w:val="17"/>
                <w:lang w:eastAsia="en-GB"/>
              </w:rPr>
            </w:pPr>
            <w:r w:rsidRPr="00744F7F">
              <w:rPr>
                <w:rFonts w:eastAsia="Times New Roman" w:cstheme="minorHAnsi"/>
                <w:sz w:val="17"/>
                <w:szCs w:val="17"/>
                <w:lang w:eastAsia="en-GB"/>
              </w:rPr>
              <w:t xml:space="preserve">Implications of the outcome </w:t>
            </w:r>
          </w:p>
        </w:tc>
        <w:tc>
          <w:tcPr>
            <w:tcW w:w="6379" w:type="dxa"/>
            <w:tcBorders>
              <w:top w:val="nil"/>
              <w:left w:val="single" w:sz="4" w:space="0" w:color="auto"/>
              <w:bottom w:val="single" w:sz="4" w:space="0" w:color="auto"/>
              <w:right w:val="single" w:sz="4" w:space="0" w:color="auto"/>
            </w:tcBorders>
            <w:shd w:val="clear" w:color="auto" w:fill="FFFFFF" w:themeFill="background1"/>
            <w:hideMark/>
          </w:tcPr>
          <w:p w14:paraId="2ACB7CBF" w14:textId="3EDA6860" w:rsidR="5BEACF45" w:rsidRDefault="5BEACF45" w:rsidP="5BEACF45">
            <w:pPr>
              <w:spacing w:after="0"/>
              <w:rPr>
                <w:rFonts w:eastAsiaTheme="minorEastAsia"/>
                <w:color w:val="000000" w:themeColor="text1"/>
                <w:sz w:val="17"/>
                <w:szCs w:val="17"/>
              </w:rPr>
            </w:pPr>
            <w:r w:rsidRPr="5BEACF45">
              <w:rPr>
                <w:rFonts w:eastAsiaTheme="minorEastAsia"/>
                <w:color w:val="000000" w:themeColor="text1"/>
                <w:sz w:val="17"/>
                <w:szCs w:val="17"/>
              </w:rPr>
              <w:t>LGIM will continue to engage with our investee companies, publicly advocate our position on this issue and monitor company and market-level progress.</w:t>
            </w:r>
          </w:p>
        </w:tc>
      </w:tr>
      <w:tr w:rsidR="00091F24" w:rsidRPr="001D6D0A" w14:paraId="27C245B5" w14:textId="77777777" w:rsidTr="5BEACF45">
        <w:trPr>
          <w:trHeight w:val="401"/>
        </w:trPr>
        <w:tc>
          <w:tcPr>
            <w:tcW w:w="2830" w:type="dxa"/>
            <w:tcBorders>
              <w:top w:val="nil"/>
              <w:left w:val="single" w:sz="4" w:space="0" w:color="auto"/>
              <w:bottom w:val="single" w:sz="4" w:space="0" w:color="auto"/>
              <w:right w:val="single" w:sz="4" w:space="0" w:color="auto"/>
            </w:tcBorders>
            <w:shd w:val="clear" w:color="auto" w:fill="D9D9D9" w:themeFill="background1" w:themeFillShade="D9"/>
            <w:hideMark/>
          </w:tcPr>
          <w:p w14:paraId="6A2973CA" w14:textId="77777777" w:rsidR="00091F24" w:rsidRPr="00744F7F" w:rsidRDefault="00091F24" w:rsidP="00C074C5">
            <w:pPr>
              <w:spacing w:after="0" w:line="240" w:lineRule="auto"/>
              <w:ind w:right="95"/>
              <w:rPr>
                <w:rFonts w:eastAsia="Times New Roman" w:cstheme="minorHAnsi"/>
                <w:sz w:val="17"/>
                <w:szCs w:val="17"/>
                <w:lang w:eastAsia="en-GB"/>
              </w:rPr>
            </w:pPr>
            <w:r w:rsidRPr="00744F7F">
              <w:rPr>
                <w:rFonts w:eastAsia="Times New Roman" w:cstheme="minorHAnsi"/>
                <w:sz w:val="17"/>
                <w:szCs w:val="17"/>
                <w:lang w:eastAsia="en-GB"/>
              </w:rPr>
              <w:t>On which criteria have you assessed this vote to be "most significant"?</w:t>
            </w:r>
          </w:p>
        </w:tc>
        <w:tc>
          <w:tcPr>
            <w:tcW w:w="6379" w:type="dxa"/>
            <w:tcBorders>
              <w:top w:val="nil"/>
              <w:left w:val="single" w:sz="4" w:space="0" w:color="auto"/>
              <w:bottom w:val="single" w:sz="4" w:space="0" w:color="auto"/>
              <w:right w:val="single" w:sz="4" w:space="0" w:color="auto"/>
            </w:tcBorders>
            <w:shd w:val="clear" w:color="auto" w:fill="FFFFFF" w:themeFill="background1"/>
            <w:hideMark/>
          </w:tcPr>
          <w:p w14:paraId="401F562D" w14:textId="58FF36B6" w:rsidR="5BEACF45" w:rsidRDefault="004D67B6" w:rsidP="5BEACF45">
            <w:pPr>
              <w:spacing w:after="0"/>
              <w:rPr>
                <w:rFonts w:eastAsiaTheme="minorEastAsia"/>
                <w:color w:val="000000" w:themeColor="text1"/>
                <w:sz w:val="17"/>
                <w:szCs w:val="17"/>
              </w:rPr>
            </w:pPr>
            <w:r w:rsidRPr="004D67B6">
              <w:rPr>
                <w:rFonts w:eastAsiaTheme="minorEastAsia"/>
                <w:color w:val="000000" w:themeColor="text1"/>
                <w:sz w:val="17"/>
                <w:szCs w:val="17"/>
              </w:rPr>
              <w:t>Thematic - Diversity: LGIM views diversity as a financially material issue for our clients, with implications for the assets we manage on their behalf.</w:t>
            </w:r>
          </w:p>
        </w:tc>
      </w:tr>
    </w:tbl>
    <w:p w14:paraId="606B7EE3" w14:textId="7406B172" w:rsidR="00C74C34" w:rsidRDefault="00C74C34" w:rsidP="00FD4C65">
      <w:pPr>
        <w:spacing w:after="120" w:line="264" w:lineRule="auto"/>
        <w:ind w:right="-46"/>
      </w:pPr>
    </w:p>
    <w:p w14:paraId="3FD26983" w14:textId="77777777" w:rsidR="00C74C34" w:rsidRDefault="00C74C34">
      <w:r>
        <w:br w:type="page"/>
      </w:r>
    </w:p>
    <w:tbl>
      <w:tblPr>
        <w:tblW w:w="9209" w:type="dxa"/>
        <w:tblLook w:val="04A0" w:firstRow="1" w:lastRow="0" w:firstColumn="1" w:lastColumn="0" w:noHBand="0" w:noVBand="1"/>
      </w:tblPr>
      <w:tblGrid>
        <w:gridCol w:w="2830"/>
        <w:gridCol w:w="6379"/>
      </w:tblGrid>
      <w:tr w:rsidR="00DD4141" w:rsidRPr="00755442" w14:paraId="6266BFB8" w14:textId="77777777" w:rsidTr="5BEACF45">
        <w:trPr>
          <w:trHeight w:val="200"/>
        </w:trPr>
        <w:tc>
          <w:tcPr>
            <w:tcW w:w="9209" w:type="dxa"/>
            <w:gridSpan w:val="2"/>
            <w:tcBorders>
              <w:top w:val="single" w:sz="4" w:space="0" w:color="auto"/>
              <w:left w:val="single" w:sz="4" w:space="0" w:color="auto"/>
              <w:bottom w:val="single" w:sz="4" w:space="0" w:color="auto"/>
              <w:right w:val="single" w:sz="4" w:space="0" w:color="auto"/>
            </w:tcBorders>
            <w:shd w:val="clear" w:color="auto" w:fill="D81668"/>
            <w:vAlign w:val="bottom"/>
            <w:hideMark/>
          </w:tcPr>
          <w:p w14:paraId="5396FCA2" w14:textId="6D62F9E5" w:rsidR="00DD4141" w:rsidRPr="00675B45" w:rsidRDefault="00DD4141" w:rsidP="00C074C5">
            <w:pPr>
              <w:spacing w:after="0" w:line="240" w:lineRule="auto"/>
              <w:ind w:right="95"/>
              <w:rPr>
                <w:rFonts w:eastAsia="Times New Roman" w:cstheme="minorHAnsi"/>
                <w:b/>
                <w:bCs/>
                <w:color w:val="FFFFFF"/>
                <w:sz w:val="17"/>
                <w:szCs w:val="17"/>
                <w:lang w:eastAsia="en-GB"/>
              </w:rPr>
            </w:pPr>
            <w:r>
              <w:rPr>
                <w:rFonts w:eastAsia="Times New Roman" w:cstheme="minorHAnsi"/>
                <w:b/>
                <w:bCs/>
                <w:color w:val="FFFFFF"/>
                <w:sz w:val="17"/>
                <w:szCs w:val="17"/>
                <w:lang w:eastAsia="en-GB"/>
              </w:rPr>
              <w:lastRenderedPageBreak/>
              <w:t xml:space="preserve">Vote </w:t>
            </w:r>
            <w:r w:rsidR="0038163F">
              <w:rPr>
                <w:rFonts w:eastAsia="Times New Roman" w:cstheme="minorHAnsi"/>
                <w:b/>
                <w:bCs/>
                <w:color w:val="FFFFFF"/>
                <w:sz w:val="17"/>
                <w:szCs w:val="17"/>
                <w:lang w:eastAsia="en-GB"/>
              </w:rPr>
              <w:t>3</w:t>
            </w:r>
          </w:p>
        </w:tc>
      </w:tr>
      <w:tr w:rsidR="00DD4141" w:rsidRPr="00755442" w14:paraId="60B3768F" w14:textId="77777777" w:rsidTr="5BEACF45">
        <w:trPr>
          <w:trHeight w:val="200"/>
        </w:trPr>
        <w:tc>
          <w:tcPr>
            <w:tcW w:w="2830" w:type="dxa"/>
            <w:tcBorders>
              <w:top w:val="nil"/>
              <w:left w:val="single" w:sz="4" w:space="0" w:color="auto"/>
              <w:bottom w:val="single" w:sz="4" w:space="0" w:color="auto"/>
              <w:right w:val="single" w:sz="4" w:space="0" w:color="auto"/>
            </w:tcBorders>
            <w:shd w:val="clear" w:color="auto" w:fill="D9D9D9" w:themeFill="background1" w:themeFillShade="D9"/>
            <w:hideMark/>
          </w:tcPr>
          <w:p w14:paraId="1AD5F320" w14:textId="77777777" w:rsidR="00DD4141" w:rsidRPr="000165AA" w:rsidRDefault="00DD4141" w:rsidP="00C074C5">
            <w:pPr>
              <w:spacing w:after="0" w:line="240" w:lineRule="auto"/>
              <w:ind w:right="95"/>
              <w:rPr>
                <w:rFonts w:eastAsia="Times New Roman" w:cstheme="minorHAnsi"/>
                <w:sz w:val="17"/>
                <w:szCs w:val="17"/>
                <w:lang w:eastAsia="en-GB"/>
              </w:rPr>
            </w:pPr>
            <w:r w:rsidRPr="000165AA">
              <w:rPr>
                <w:rFonts w:eastAsia="Times New Roman" w:cstheme="minorHAnsi"/>
                <w:sz w:val="17"/>
                <w:szCs w:val="17"/>
                <w:lang w:eastAsia="en-GB"/>
              </w:rPr>
              <w:t>Company name</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6A00291" w14:textId="733C98B7" w:rsidR="5BEACF45" w:rsidRDefault="003B0243" w:rsidP="5BEACF45">
            <w:pPr>
              <w:spacing w:after="0"/>
              <w:rPr>
                <w:rFonts w:eastAsiaTheme="minorEastAsia"/>
                <w:color w:val="000000" w:themeColor="text1"/>
                <w:sz w:val="17"/>
                <w:szCs w:val="17"/>
              </w:rPr>
            </w:pPr>
            <w:r w:rsidRPr="003B0243">
              <w:rPr>
                <w:rFonts w:eastAsiaTheme="minorEastAsia"/>
                <w:color w:val="000000" w:themeColor="text1"/>
                <w:sz w:val="17"/>
                <w:szCs w:val="17"/>
              </w:rPr>
              <w:t>Shell Plc</w:t>
            </w:r>
          </w:p>
        </w:tc>
      </w:tr>
      <w:tr w:rsidR="00DD4141" w:rsidRPr="00755442" w14:paraId="16B55CC4" w14:textId="77777777" w:rsidTr="5BEACF45">
        <w:trPr>
          <w:trHeight w:val="200"/>
        </w:trPr>
        <w:tc>
          <w:tcPr>
            <w:tcW w:w="2830" w:type="dxa"/>
            <w:tcBorders>
              <w:top w:val="nil"/>
              <w:left w:val="single" w:sz="4" w:space="0" w:color="auto"/>
              <w:bottom w:val="single" w:sz="4" w:space="0" w:color="auto"/>
              <w:right w:val="single" w:sz="4" w:space="0" w:color="auto"/>
            </w:tcBorders>
            <w:shd w:val="clear" w:color="auto" w:fill="D9D9D9" w:themeFill="background1" w:themeFillShade="D9"/>
            <w:hideMark/>
          </w:tcPr>
          <w:p w14:paraId="5FD831ED" w14:textId="77777777" w:rsidR="00DD4141" w:rsidRPr="000165AA" w:rsidRDefault="00DD4141" w:rsidP="00C074C5">
            <w:pPr>
              <w:spacing w:after="0" w:line="240" w:lineRule="auto"/>
              <w:ind w:right="95"/>
              <w:rPr>
                <w:rFonts w:eastAsia="Times New Roman" w:cstheme="minorHAnsi"/>
                <w:sz w:val="17"/>
                <w:szCs w:val="17"/>
                <w:lang w:eastAsia="en-GB"/>
              </w:rPr>
            </w:pPr>
            <w:r w:rsidRPr="000165AA">
              <w:rPr>
                <w:rFonts w:eastAsia="Times New Roman" w:cstheme="minorHAnsi"/>
                <w:sz w:val="17"/>
                <w:szCs w:val="17"/>
                <w:lang w:eastAsia="en-GB"/>
              </w:rPr>
              <w:t>Date of vote</w:t>
            </w:r>
          </w:p>
        </w:tc>
        <w:tc>
          <w:tcPr>
            <w:tcW w:w="637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8BB4342" w14:textId="172D6490" w:rsidR="5BEACF45" w:rsidRDefault="003B0243" w:rsidP="5BEACF45">
            <w:pPr>
              <w:spacing w:after="0"/>
              <w:rPr>
                <w:rFonts w:eastAsiaTheme="minorEastAsia"/>
                <w:color w:val="000000" w:themeColor="text1"/>
                <w:sz w:val="17"/>
                <w:szCs w:val="17"/>
              </w:rPr>
            </w:pPr>
            <w:r w:rsidRPr="003B0243">
              <w:rPr>
                <w:rFonts w:eastAsiaTheme="minorEastAsia"/>
                <w:color w:val="000000" w:themeColor="text1"/>
                <w:sz w:val="17"/>
                <w:szCs w:val="17"/>
              </w:rPr>
              <w:t>2024-05-21</w:t>
            </w:r>
          </w:p>
        </w:tc>
      </w:tr>
      <w:tr w:rsidR="00DD4141" w:rsidRPr="00755442" w14:paraId="1E399FDC" w14:textId="77777777" w:rsidTr="5BEACF45">
        <w:trPr>
          <w:trHeight w:val="400"/>
        </w:trPr>
        <w:tc>
          <w:tcPr>
            <w:tcW w:w="2830" w:type="dxa"/>
            <w:tcBorders>
              <w:top w:val="nil"/>
              <w:left w:val="single" w:sz="4" w:space="0" w:color="auto"/>
              <w:bottom w:val="single" w:sz="4" w:space="0" w:color="auto"/>
              <w:right w:val="single" w:sz="4" w:space="0" w:color="auto"/>
            </w:tcBorders>
            <w:shd w:val="clear" w:color="auto" w:fill="D9D9D9" w:themeFill="background1" w:themeFillShade="D9"/>
            <w:hideMark/>
          </w:tcPr>
          <w:p w14:paraId="46B48965" w14:textId="77777777" w:rsidR="00DD4141" w:rsidRPr="000165AA" w:rsidRDefault="00DD4141" w:rsidP="00C074C5">
            <w:pPr>
              <w:spacing w:after="0" w:line="240" w:lineRule="auto"/>
              <w:ind w:right="95"/>
              <w:rPr>
                <w:rFonts w:eastAsia="Times New Roman" w:cstheme="minorHAnsi"/>
                <w:sz w:val="17"/>
                <w:szCs w:val="17"/>
                <w:lang w:eastAsia="en-GB"/>
              </w:rPr>
            </w:pPr>
            <w:r>
              <w:rPr>
                <w:rFonts w:eastAsia="Times New Roman" w:cstheme="minorHAnsi"/>
                <w:sz w:val="17"/>
                <w:szCs w:val="17"/>
                <w:lang w:eastAsia="en-GB"/>
              </w:rPr>
              <w:t>S</w:t>
            </w:r>
            <w:r w:rsidRPr="000165AA">
              <w:rPr>
                <w:rFonts w:eastAsia="Times New Roman" w:cstheme="minorHAnsi"/>
                <w:sz w:val="17"/>
                <w:szCs w:val="17"/>
                <w:lang w:eastAsia="en-GB"/>
              </w:rPr>
              <w:t>ize of fund's holding as at the date of the vote (as % of portfolio)</w:t>
            </w:r>
          </w:p>
        </w:tc>
        <w:tc>
          <w:tcPr>
            <w:tcW w:w="6379" w:type="dxa"/>
            <w:tcBorders>
              <w:top w:val="single" w:sz="4" w:space="0" w:color="auto"/>
              <w:left w:val="nil"/>
              <w:bottom w:val="single" w:sz="4" w:space="0" w:color="auto"/>
              <w:right w:val="single" w:sz="4" w:space="0" w:color="auto"/>
            </w:tcBorders>
            <w:shd w:val="clear" w:color="auto" w:fill="FFFFFF" w:themeFill="background1"/>
            <w:noWrap/>
            <w:hideMark/>
          </w:tcPr>
          <w:p w14:paraId="0F147231" w14:textId="32D44A61" w:rsidR="5BEACF45" w:rsidRDefault="003B0243" w:rsidP="5BEACF45">
            <w:pPr>
              <w:spacing w:after="0"/>
              <w:rPr>
                <w:rFonts w:eastAsiaTheme="minorEastAsia"/>
                <w:color w:val="000000" w:themeColor="text1"/>
                <w:sz w:val="17"/>
                <w:szCs w:val="17"/>
              </w:rPr>
            </w:pPr>
            <w:r w:rsidRPr="003B0243">
              <w:rPr>
                <w:rFonts w:eastAsiaTheme="minorEastAsia"/>
                <w:color w:val="000000" w:themeColor="text1"/>
                <w:sz w:val="17"/>
                <w:szCs w:val="17"/>
              </w:rPr>
              <w:t>0.325090</w:t>
            </w:r>
          </w:p>
        </w:tc>
      </w:tr>
      <w:tr w:rsidR="00DD4141" w:rsidRPr="00755442" w14:paraId="18E063B7" w14:textId="77777777" w:rsidTr="5BEACF45">
        <w:trPr>
          <w:trHeight w:val="157"/>
        </w:trPr>
        <w:tc>
          <w:tcPr>
            <w:tcW w:w="2830" w:type="dxa"/>
            <w:tcBorders>
              <w:top w:val="nil"/>
              <w:left w:val="single" w:sz="4" w:space="0" w:color="auto"/>
              <w:bottom w:val="single" w:sz="4" w:space="0" w:color="auto"/>
              <w:right w:val="single" w:sz="4" w:space="0" w:color="auto"/>
            </w:tcBorders>
            <w:shd w:val="clear" w:color="auto" w:fill="D9D9D9" w:themeFill="background1" w:themeFillShade="D9"/>
            <w:hideMark/>
          </w:tcPr>
          <w:p w14:paraId="23B671FF" w14:textId="77777777" w:rsidR="00DD4141" w:rsidRPr="000165AA" w:rsidRDefault="00DD4141" w:rsidP="00C074C5">
            <w:pPr>
              <w:spacing w:after="0" w:line="240" w:lineRule="auto"/>
              <w:ind w:right="95"/>
              <w:rPr>
                <w:rFonts w:eastAsia="Times New Roman" w:cstheme="minorHAnsi"/>
                <w:sz w:val="17"/>
                <w:szCs w:val="17"/>
                <w:lang w:eastAsia="en-GB"/>
              </w:rPr>
            </w:pPr>
            <w:r w:rsidRPr="000165AA">
              <w:rPr>
                <w:rFonts w:eastAsia="Times New Roman" w:cstheme="minorHAnsi"/>
                <w:sz w:val="17"/>
                <w:szCs w:val="17"/>
                <w:lang w:eastAsia="en-GB"/>
              </w:rPr>
              <w:t>Summary of the resolution</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A5E97A" w14:textId="58E968F9" w:rsidR="5BEACF45" w:rsidRDefault="007A5177" w:rsidP="5BEACF45">
            <w:pPr>
              <w:spacing w:after="0"/>
              <w:rPr>
                <w:rFonts w:eastAsiaTheme="minorEastAsia"/>
                <w:color w:val="000000" w:themeColor="text1"/>
                <w:sz w:val="17"/>
                <w:szCs w:val="17"/>
              </w:rPr>
            </w:pPr>
            <w:r w:rsidRPr="007A5177">
              <w:rPr>
                <w:rFonts w:eastAsiaTheme="minorEastAsia"/>
                <w:color w:val="000000" w:themeColor="text1"/>
                <w:sz w:val="17"/>
                <w:szCs w:val="17"/>
              </w:rPr>
              <w:t>Resolution 22: Approve the Shell Energy Transition Strategy</w:t>
            </w:r>
          </w:p>
        </w:tc>
      </w:tr>
      <w:tr w:rsidR="00DD4141" w:rsidRPr="00755442" w14:paraId="68D39D04" w14:textId="77777777" w:rsidTr="5BEACF45">
        <w:trPr>
          <w:trHeight w:val="200"/>
        </w:trPr>
        <w:tc>
          <w:tcPr>
            <w:tcW w:w="2830" w:type="dxa"/>
            <w:tcBorders>
              <w:top w:val="nil"/>
              <w:left w:val="single" w:sz="4" w:space="0" w:color="auto"/>
              <w:bottom w:val="single" w:sz="4" w:space="0" w:color="auto"/>
              <w:right w:val="single" w:sz="4" w:space="0" w:color="auto"/>
            </w:tcBorders>
            <w:shd w:val="clear" w:color="auto" w:fill="D9D9D9" w:themeFill="background1" w:themeFillShade="D9"/>
            <w:hideMark/>
          </w:tcPr>
          <w:p w14:paraId="735E1D53" w14:textId="77777777" w:rsidR="00DD4141" w:rsidRPr="000165AA" w:rsidRDefault="00DD4141" w:rsidP="00C074C5">
            <w:pPr>
              <w:spacing w:after="0" w:line="240" w:lineRule="auto"/>
              <w:ind w:right="95"/>
              <w:rPr>
                <w:rFonts w:eastAsia="Times New Roman" w:cstheme="minorHAnsi"/>
                <w:sz w:val="17"/>
                <w:szCs w:val="17"/>
                <w:lang w:eastAsia="en-GB"/>
              </w:rPr>
            </w:pPr>
            <w:r w:rsidRPr="000165AA">
              <w:rPr>
                <w:rFonts w:eastAsia="Times New Roman" w:cstheme="minorHAnsi"/>
                <w:sz w:val="17"/>
                <w:szCs w:val="17"/>
                <w:lang w:eastAsia="en-GB"/>
              </w:rPr>
              <w:t>How you voted</w:t>
            </w:r>
          </w:p>
        </w:tc>
        <w:tc>
          <w:tcPr>
            <w:tcW w:w="6379" w:type="dxa"/>
            <w:tcBorders>
              <w:top w:val="nil"/>
              <w:left w:val="single" w:sz="4" w:space="0" w:color="auto"/>
              <w:bottom w:val="single" w:sz="4" w:space="0" w:color="auto"/>
              <w:right w:val="single" w:sz="4" w:space="0" w:color="auto"/>
            </w:tcBorders>
            <w:shd w:val="clear" w:color="auto" w:fill="FFFFFF" w:themeFill="background1"/>
            <w:noWrap/>
            <w:hideMark/>
          </w:tcPr>
          <w:p w14:paraId="544C1C61" w14:textId="2FBAADFA" w:rsidR="5BEACF45" w:rsidRDefault="5BEACF45" w:rsidP="5BEACF45">
            <w:pPr>
              <w:spacing w:after="0"/>
              <w:rPr>
                <w:rFonts w:eastAsiaTheme="minorEastAsia"/>
                <w:color w:val="000000" w:themeColor="text1"/>
                <w:sz w:val="17"/>
                <w:szCs w:val="17"/>
              </w:rPr>
            </w:pPr>
            <w:r w:rsidRPr="5BEACF45">
              <w:rPr>
                <w:rFonts w:eastAsiaTheme="minorEastAsia"/>
                <w:color w:val="000000" w:themeColor="text1"/>
                <w:sz w:val="17"/>
                <w:szCs w:val="17"/>
              </w:rPr>
              <w:t>Against (against management recommendation)</w:t>
            </w:r>
          </w:p>
        </w:tc>
      </w:tr>
      <w:tr w:rsidR="00DD4141" w:rsidRPr="00755442" w14:paraId="0F6012F7" w14:textId="77777777" w:rsidTr="5BEACF45">
        <w:trPr>
          <w:trHeight w:val="400"/>
        </w:trPr>
        <w:tc>
          <w:tcPr>
            <w:tcW w:w="2830" w:type="dxa"/>
            <w:tcBorders>
              <w:top w:val="nil"/>
              <w:left w:val="single" w:sz="4" w:space="0" w:color="auto"/>
              <w:bottom w:val="single" w:sz="4" w:space="0" w:color="auto"/>
              <w:right w:val="single" w:sz="4" w:space="0" w:color="auto"/>
            </w:tcBorders>
            <w:shd w:val="clear" w:color="auto" w:fill="D9D9D9" w:themeFill="background1" w:themeFillShade="D9"/>
            <w:hideMark/>
          </w:tcPr>
          <w:p w14:paraId="193B9792" w14:textId="41880D6A" w:rsidR="00DD4141" w:rsidRPr="000165AA" w:rsidRDefault="00505909" w:rsidP="00C074C5">
            <w:pPr>
              <w:spacing w:after="0" w:line="240" w:lineRule="auto"/>
              <w:ind w:right="95"/>
              <w:rPr>
                <w:rFonts w:eastAsia="Times New Roman" w:cstheme="minorHAnsi"/>
                <w:sz w:val="17"/>
                <w:szCs w:val="17"/>
                <w:lang w:eastAsia="en-GB"/>
              </w:rPr>
            </w:pPr>
            <w:r w:rsidRPr="00505909">
              <w:rPr>
                <w:rFonts w:eastAsia="Times New Roman" w:cstheme="minorHAnsi"/>
                <w:sz w:val="17"/>
                <w:szCs w:val="17"/>
                <w:lang w:eastAsia="en-GB"/>
              </w:rPr>
              <w:t>Did you communicate your intent to the company ahead of the vote?</w:t>
            </w:r>
          </w:p>
        </w:tc>
        <w:tc>
          <w:tcPr>
            <w:tcW w:w="6379" w:type="dxa"/>
            <w:tcBorders>
              <w:top w:val="nil"/>
              <w:left w:val="single" w:sz="4" w:space="0" w:color="auto"/>
              <w:bottom w:val="single" w:sz="4" w:space="0" w:color="auto"/>
              <w:right w:val="single" w:sz="4" w:space="0" w:color="auto"/>
            </w:tcBorders>
            <w:shd w:val="clear" w:color="auto" w:fill="FFFFFF" w:themeFill="background1"/>
            <w:noWrap/>
            <w:hideMark/>
          </w:tcPr>
          <w:p w14:paraId="21F31403" w14:textId="141D306F" w:rsidR="5BEACF45" w:rsidRDefault="5BEACF45" w:rsidP="5BEACF45">
            <w:pPr>
              <w:spacing w:after="0"/>
              <w:rPr>
                <w:rFonts w:eastAsiaTheme="minorEastAsia"/>
                <w:color w:val="000000" w:themeColor="text1"/>
                <w:sz w:val="17"/>
                <w:szCs w:val="17"/>
              </w:rPr>
            </w:pPr>
            <w:r w:rsidRPr="5BEACF45">
              <w:rPr>
                <w:rFonts w:eastAsiaTheme="minorEastAsia"/>
                <w:color w:val="000000" w:themeColor="text1"/>
                <w:sz w:val="17"/>
                <w:szCs w:val="17"/>
              </w:rPr>
              <w:t>LGIM publicly communicates its vote instructions on its website the day after the company meeting, with a rationale for all votes against management. It is our policy not to engage with our investee companies in the three weeks prior to an AGM as our engagement is not limited to shareholder meeting topics.</w:t>
            </w:r>
          </w:p>
        </w:tc>
      </w:tr>
      <w:tr w:rsidR="00DD4141" w:rsidRPr="00755442" w14:paraId="60163C75" w14:textId="77777777" w:rsidTr="5BEACF45">
        <w:trPr>
          <w:trHeight w:val="631"/>
        </w:trPr>
        <w:tc>
          <w:tcPr>
            <w:tcW w:w="2830" w:type="dxa"/>
            <w:tcBorders>
              <w:top w:val="nil"/>
              <w:left w:val="single" w:sz="4" w:space="0" w:color="auto"/>
              <w:bottom w:val="single" w:sz="4" w:space="0" w:color="auto"/>
              <w:right w:val="single" w:sz="4" w:space="0" w:color="auto"/>
            </w:tcBorders>
            <w:shd w:val="clear" w:color="auto" w:fill="D9D9D9" w:themeFill="background1" w:themeFillShade="D9"/>
            <w:hideMark/>
          </w:tcPr>
          <w:p w14:paraId="73C44ADE" w14:textId="77777777" w:rsidR="00DD4141" w:rsidRPr="000165AA" w:rsidRDefault="00DD4141" w:rsidP="00C074C5">
            <w:pPr>
              <w:spacing w:after="0" w:line="240" w:lineRule="auto"/>
              <w:ind w:right="95"/>
              <w:rPr>
                <w:rFonts w:eastAsia="Times New Roman" w:cstheme="minorHAnsi"/>
                <w:sz w:val="17"/>
                <w:szCs w:val="17"/>
                <w:lang w:eastAsia="en-GB"/>
              </w:rPr>
            </w:pPr>
            <w:r w:rsidRPr="000165AA">
              <w:rPr>
                <w:rFonts w:eastAsia="Times New Roman" w:cstheme="minorHAnsi"/>
                <w:sz w:val="17"/>
                <w:szCs w:val="17"/>
                <w:lang w:eastAsia="en-GB"/>
              </w:rPr>
              <w:t>Rationale for the voting decision</w:t>
            </w:r>
          </w:p>
        </w:tc>
        <w:tc>
          <w:tcPr>
            <w:tcW w:w="6379" w:type="dxa"/>
            <w:tcBorders>
              <w:top w:val="nil"/>
              <w:left w:val="single" w:sz="4" w:space="0" w:color="auto"/>
              <w:bottom w:val="single" w:sz="4" w:space="0" w:color="auto"/>
              <w:right w:val="single" w:sz="4" w:space="0" w:color="auto"/>
            </w:tcBorders>
            <w:shd w:val="clear" w:color="auto" w:fill="FFFFFF" w:themeFill="background1"/>
            <w:hideMark/>
          </w:tcPr>
          <w:p w14:paraId="6EE8A019" w14:textId="3C91F374" w:rsidR="5BEACF45" w:rsidRDefault="007A5177" w:rsidP="5BEACF45">
            <w:pPr>
              <w:spacing w:after="0"/>
              <w:rPr>
                <w:rFonts w:eastAsiaTheme="minorEastAsia"/>
                <w:color w:val="000000" w:themeColor="text1"/>
                <w:sz w:val="17"/>
                <w:szCs w:val="17"/>
              </w:rPr>
            </w:pPr>
            <w:r w:rsidRPr="007A5177">
              <w:rPr>
                <w:rFonts w:eastAsiaTheme="minorEastAsia"/>
                <w:color w:val="000000" w:themeColor="text1"/>
                <w:sz w:val="17"/>
                <w:szCs w:val="17"/>
              </w:rPr>
              <w:t>Climate change: A vote against is applied. We acknowledge the substantive progress the company has made in respect of climate related disclosure over recent years, and we view positively the commitments made to reduce emissions from operated assets and oil products, the strong position taken on tackling methane emissions, as well as the pledge of not pursuing frontier exploration activities beyond 2025.  Nevertheless, in light of the revisions made to the Net Carbon Intensity (NCI) targets, coupled with the ambition to grow its gas and LNG business this decade, we expect the company to better demonstrate how these plans are consistent with an orderly transition to net-zero emissions by 2050. In essence, we seek more clarity regarding the expected lifespan of the assets Shell is looking to further develop, the level of flexibility in revising production levels against a range of scenarios and tangible actions taken across the value chain to deliver customer decarbonisation.   Additionally, we would benefit from further transparency regarding lobbying activities in regions where hydrocarbon production is expected to play a significant role, guidance on capex allocated to low carbon beyond 2025 and the application of responsible divestment principles involved in asset sales, given portfolio changes form a material lever in Shell</w:t>
            </w:r>
            <w:r w:rsidR="00D11C49">
              <w:rPr>
                <w:rFonts w:eastAsiaTheme="minorEastAsia"/>
                <w:color w:val="000000" w:themeColor="text1"/>
                <w:sz w:val="17"/>
                <w:szCs w:val="17"/>
              </w:rPr>
              <w:t>’</w:t>
            </w:r>
            <w:r w:rsidRPr="007A5177">
              <w:rPr>
                <w:rFonts w:eastAsiaTheme="minorEastAsia"/>
                <w:color w:val="000000" w:themeColor="text1"/>
                <w:sz w:val="17"/>
                <w:szCs w:val="17"/>
              </w:rPr>
              <w:t>s decarbonization strategy.</w:t>
            </w:r>
          </w:p>
        </w:tc>
      </w:tr>
      <w:tr w:rsidR="00DD4141" w:rsidRPr="00755442" w14:paraId="6FC94634" w14:textId="77777777" w:rsidTr="5BEACF45">
        <w:trPr>
          <w:trHeight w:val="283"/>
        </w:trPr>
        <w:tc>
          <w:tcPr>
            <w:tcW w:w="2830" w:type="dxa"/>
            <w:tcBorders>
              <w:top w:val="nil"/>
              <w:left w:val="single" w:sz="4" w:space="0" w:color="auto"/>
              <w:bottom w:val="single" w:sz="4" w:space="0" w:color="auto"/>
              <w:right w:val="single" w:sz="4" w:space="0" w:color="auto"/>
            </w:tcBorders>
            <w:shd w:val="clear" w:color="auto" w:fill="D9D9D9" w:themeFill="background1" w:themeFillShade="D9"/>
            <w:hideMark/>
          </w:tcPr>
          <w:p w14:paraId="501A33AA" w14:textId="77777777" w:rsidR="00DD4141" w:rsidRPr="000165AA" w:rsidRDefault="00DD4141" w:rsidP="00C074C5">
            <w:pPr>
              <w:spacing w:after="0" w:line="240" w:lineRule="auto"/>
              <w:ind w:right="95"/>
              <w:rPr>
                <w:rFonts w:eastAsia="Times New Roman" w:cstheme="minorHAnsi"/>
                <w:sz w:val="17"/>
                <w:szCs w:val="17"/>
                <w:lang w:eastAsia="en-GB"/>
              </w:rPr>
            </w:pPr>
            <w:r w:rsidRPr="000165AA">
              <w:rPr>
                <w:rFonts w:eastAsia="Times New Roman" w:cstheme="minorHAnsi"/>
                <w:sz w:val="17"/>
                <w:szCs w:val="17"/>
                <w:lang w:eastAsia="en-GB"/>
              </w:rPr>
              <w:t>Outcome of the vote</w:t>
            </w:r>
          </w:p>
        </w:tc>
        <w:tc>
          <w:tcPr>
            <w:tcW w:w="6379" w:type="dxa"/>
            <w:tcBorders>
              <w:top w:val="nil"/>
              <w:left w:val="single" w:sz="4" w:space="0" w:color="auto"/>
              <w:bottom w:val="single" w:sz="4" w:space="0" w:color="auto"/>
              <w:right w:val="single" w:sz="4" w:space="0" w:color="auto"/>
            </w:tcBorders>
            <w:shd w:val="clear" w:color="auto" w:fill="FFFFFF" w:themeFill="background1"/>
            <w:hideMark/>
          </w:tcPr>
          <w:p w14:paraId="79DAC5B6" w14:textId="52950C12" w:rsidR="5BEACF45" w:rsidRDefault="00FA6A6A" w:rsidP="5BEACF45">
            <w:pPr>
              <w:spacing w:after="0"/>
              <w:rPr>
                <w:rFonts w:eastAsiaTheme="minorEastAsia"/>
                <w:color w:val="000000" w:themeColor="text1"/>
                <w:sz w:val="17"/>
                <w:szCs w:val="17"/>
              </w:rPr>
            </w:pPr>
            <w:r>
              <w:rPr>
                <w:rFonts w:eastAsiaTheme="minorEastAsia"/>
                <w:color w:val="000000" w:themeColor="text1"/>
                <w:sz w:val="17"/>
                <w:szCs w:val="17"/>
              </w:rPr>
              <w:t>Pass</w:t>
            </w:r>
          </w:p>
        </w:tc>
      </w:tr>
      <w:tr w:rsidR="00DD4141" w:rsidRPr="00755442" w14:paraId="2BD0EAB4" w14:textId="77777777" w:rsidTr="5BEACF45">
        <w:trPr>
          <w:trHeight w:val="267"/>
        </w:trPr>
        <w:tc>
          <w:tcPr>
            <w:tcW w:w="2830" w:type="dxa"/>
            <w:tcBorders>
              <w:top w:val="nil"/>
              <w:left w:val="single" w:sz="4" w:space="0" w:color="auto"/>
              <w:bottom w:val="single" w:sz="4" w:space="0" w:color="auto"/>
              <w:right w:val="single" w:sz="4" w:space="0" w:color="auto"/>
            </w:tcBorders>
            <w:shd w:val="clear" w:color="auto" w:fill="D9D9D9" w:themeFill="background1" w:themeFillShade="D9"/>
            <w:hideMark/>
          </w:tcPr>
          <w:p w14:paraId="179721B8" w14:textId="77777777" w:rsidR="00DD4141" w:rsidRPr="000165AA" w:rsidRDefault="00DD4141" w:rsidP="00C074C5">
            <w:pPr>
              <w:spacing w:after="0" w:line="240" w:lineRule="auto"/>
              <w:ind w:right="95"/>
              <w:rPr>
                <w:rFonts w:eastAsia="Times New Roman" w:cstheme="minorHAnsi"/>
                <w:sz w:val="17"/>
                <w:szCs w:val="17"/>
                <w:lang w:eastAsia="en-GB"/>
              </w:rPr>
            </w:pPr>
            <w:r w:rsidRPr="000165AA">
              <w:rPr>
                <w:rFonts w:eastAsia="Times New Roman" w:cstheme="minorHAnsi"/>
                <w:sz w:val="17"/>
                <w:szCs w:val="17"/>
                <w:lang w:eastAsia="en-GB"/>
              </w:rPr>
              <w:t>Implications of the outcome</w:t>
            </w:r>
          </w:p>
        </w:tc>
        <w:tc>
          <w:tcPr>
            <w:tcW w:w="6379" w:type="dxa"/>
            <w:tcBorders>
              <w:top w:val="nil"/>
              <w:left w:val="single" w:sz="4" w:space="0" w:color="auto"/>
              <w:bottom w:val="single" w:sz="4" w:space="0" w:color="auto"/>
              <w:right w:val="single" w:sz="4" w:space="0" w:color="auto"/>
            </w:tcBorders>
            <w:shd w:val="clear" w:color="auto" w:fill="FFFFFF" w:themeFill="background1"/>
            <w:hideMark/>
          </w:tcPr>
          <w:p w14:paraId="66181EF7" w14:textId="02D8C685" w:rsidR="5BEACF45" w:rsidRDefault="5BEACF45" w:rsidP="5BEACF45">
            <w:pPr>
              <w:spacing w:after="0"/>
              <w:rPr>
                <w:rFonts w:eastAsiaTheme="minorEastAsia"/>
                <w:color w:val="000000" w:themeColor="text1"/>
                <w:sz w:val="17"/>
                <w:szCs w:val="17"/>
              </w:rPr>
            </w:pPr>
            <w:r w:rsidRPr="5BEACF45">
              <w:rPr>
                <w:rFonts w:eastAsiaTheme="minorEastAsia"/>
                <w:color w:val="000000" w:themeColor="text1"/>
                <w:sz w:val="17"/>
                <w:szCs w:val="17"/>
              </w:rPr>
              <w:t>LGIM will continue to engage with our investee companies, publicly advocate our position on this issue and monitor company and market-level progress.</w:t>
            </w:r>
          </w:p>
        </w:tc>
      </w:tr>
      <w:tr w:rsidR="00DD4141" w:rsidRPr="00755442" w14:paraId="7298BCC8" w14:textId="77777777" w:rsidTr="5BEACF45">
        <w:trPr>
          <w:trHeight w:val="407"/>
        </w:trPr>
        <w:tc>
          <w:tcPr>
            <w:tcW w:w="2830" w:type="dxa"/>
            <w:tcBorders>
              <w:top w:val="nil"/>
              <w:left w:val="single" w:sz="4" w:space="0" w:color="auto"/>
              <w:bottom w:val="single" w:sz="4" w:space="0" w:color="auto"/>
              <w:right w:val="single" w:sz="4" w:space="0" w:color="auto"/>
            </w:tcBorders>
            <w:shd w:val="clear" w:color="auto" w:fill="D9D9D9" w:themeFill="background1" w:themeFillShade="D9"/>
            <w:hideMark/>
          </w:tcPr>
          <w:p w14:paraId="08C8C3B3" w14:textId="77777777" w:rsidR="00DD4141" w:rsidRPr="000165AA" w:rsidRDefault="00DD4141" w:rsidP="00C074C5">
            <w:pPr>
              <w:spacing w:after="0" w:line="240" w:lineRule="auto"/>
              <w:ind w:right="95"/>
              <w:rPr>
                <w:rFonts w:eastAsia="Times New Roman" w:cstheme="minorHAnsi"/>
                <w:sz w:val="17"/>
                <w:szCs w:val="17"/>
                <w:lang w:eastAsia="en-GB"/>
              </w:rPr>
            </w:pPr>
            <w:r w:rsidRPr="000165AA">
              <w:rPr>
                <w:rFonts w:eastAsia="Times New Roman" w:cstheme="minorHAnsi"/>
                <w:sz w:val="17"/>
                <w:szCs w:val="17"/>
                <w:lang w:eastAsia="en-GB"/>
              </w:rPr>
              <w:t>On which criteria have you assessed this vote to be "most significant"?</w:t>
            </w:r>
          </w:p>
        </w:tc>
        <w:tc>
          <w:tcPr>
            <w:tcW w:w="6379" w:type="dxa"/>
            <w:tcBorders>
              <w:top w:val="nil"/>
              <w:left w:val="single" w:sz="4" w:space="0" w:color="auto"/>
              <w:bottom w:val="single" w:sz="4" w:space="0" w:color="auto"/>
              <w:right w:val="single" w:sz="4" w:space="0" w:color="auto"/>
            </w:tcBorders>
            <w:shd w:val="clear" w:color="auto" w:fill="FFFFFF" w:themeFill="background1"/>
            <w:hideMark/>
          </w:tcPr>
          <w:p w14:paraId="07A5800E" w14:textId="2EFB1F72" w:rsidR="5BEACF45" w:rsidRDefault="00FA6A6A" w:rsidP="5BEACF45">
            <w:pPr>
              <w:spacing w:after="0"/>
              <w:rPr>
                <w:rFonts w:eastAsiaTheme="minorEastAsia"/>
                <w:color w:val="000000" w:themeColor="text1"/>
                <w:sz w:val="17"/>
                <w:szCs w:val="17"/>
              </w:rPr>
            </w:pPr>
            <w:r w:rsidRPr="00FA6A6A">
              <w:rPr>
                <w:rFonts w:eastAsiaTheme="minorEastAsia"/>
                <w:color w:val="000000" w:themeColor="text1"/>
                <w:sz w:val="17"/>
                <w:szCs w:val="17"/>
              </w:rPr>
              <w:t>Thematic - Climate: LGIM is publicly supportive of so called "Say on Climate" votes.  We expect transition plans put forward by companies to be both ambitious and credibly aligned to a 1.5</w:t>
            </w:r>
            <w:r w:rsidR="000D2ECF" w:rsidRPr="001B553D">
              <w:rPr>
                <w:rFonts w:eastAsiaTheme="minorEastAsia"/>
                <w:color w:val="000000" w:themeColor="text1"/>
                <w:sz w:val="17"/>
                <w:szCs w:val="17"/>
              </w:rPr>
              <w:t>°</w:t>
            </w:r>
            <w:r w:rsidRPr="00FA6A6A">
              <w:rPr>
                <w:rFonts w:eastAsiaTheme="minorEastAsia"/>
                <w:color w:val="000000" w:themeColor="text1"/>
                <w:sz w:val="17"/>
                <w:szCs w:val="17"/>
              </w:rPr>
              <w:t>C scenario.  Given the high-profile nature of such votes, LGIM deem such votes to be significant, particularly when LGIM votes against the transition plan.</w:t>
            </w:r>
          </w:p>
        </w:tc>
      </w:tr>
    </w:tbl>
    <w:p w14:paraId="20955C54" w14:textId="31F6628C" w:rsidR="00107F32" w:rsidRDefault="00107F32" w:rsidP="00FD4C65">
      <w:pPr>
        <w:spacing w:after="120" w:line="264" w:lineRule="auto"/>
        <w:ind w:right="-46"/>
      </w:pPr>
    </w:p>
    <w:tbl>
      <w:tblPr>
        <w:tblW w:w="9209" w:type="dxa"/>
        <w:tblLook w:val="04A0" w:firstRow="1" w:lastRow="0" w:firstColumn="1" w:lastColumn="0" w:noHBand="0" w:noVBand="1"/>
      </w:tblPr>
      <w:tblGrid>
        <w:gridCol w:w="2830"/>
        <w:gridCol w:w="6379"/>
      </w:tblGrid>
      <w:tr w:rsidR="001B1E57" w:rsidRPr="00755442" w14:paraId="40975E41" w14:textId="77777777" w:rsidTr="5BEACF45">
        <w:trPr>
          <w:trHeight w:val="200"/>
        </w:trPr>
        <w:tc>
          <w:tcPr>
            <w:tcW w:w="9209" w:type="dxa"/>
            <w:gridSpan w:val="2"/>
            <w:tcBorders>
              <w:top w:val="single" w:sz="4" w:space="0" w:color="auto"/>
              <w:left w:val="single" w:sz="4" w:space="0" w:color="auto"/>
              <w:bottom w:val="single" w:sz="4" w:space="0" w:color="auto"/>
              <w:right w:val="single" w:sz="4" w:space="0" w:color="auto"/>
            </w:tcBorders>
            <w:shd w:val="clear" w:color="auto" w:fill="D81668"/>
            <w:vAlign w:val="bottom"/>
            <w:hideMark/>
          </w:tcPr>
          <w:p w14:paraId="3FC696E3" w14:textId="486EE8C9" w:rsidR="001B1E57" w:rsidRPr="00675B45" w:rsidRDefault="001B1E57" w:rsidP="00EC48BF">
            <w:pPr>
              <w:spacing w:after="0" w:line="240" w:lineRule="auto"/>
              <w:ind w:right="95"/>
              <w:rPr>
                <w:rFonts w:eastAsia="Times New Roman" w:cstheme="minorHAnsi"/>
                <w:b/>
                <w:bCs/>
                <w:color w:val="FFFFFF"/>
                <w:sz w:val="17"/>
                <w:szCs w:val="17"/>
                <w:lang w:eastAsia="en-GB"/>
              </w:rPr>
            </w:pPr>
            <w:r>
              <w:rPr>
                <w:rFonts w:eastAsia="Times New Roman" w:cstheme="minorHAnsi"/>
                <w:b/>
                <w:bCs/>
                <w:color w:val="FFFFFF"/>
                <w:sz w:val="17"/>
                <w:szCs w:val="17"/>
                <w:lang w:eastAsia="en-GB"/>
              </w:rPr>
              <w:t xml:space="preserve">Vote </w:t>
            </w:r>
            <w:r w:rsidR="007C15CD">
              <w:rPr>
                <w:rFonts w:eastAsia="Times New Roman" w:cstheme="minorHAnsi"/>
                <w:b/>
                <w:bCs/>
                <w:color w:val="FFFFFF"/>
                <w:sz w:val="17"/>
                <w:szCs w:val="17"/>
                <w:lang w:eastAsia="en-GB"/>
              </w:rPr>
              <w:t>4</w:t>
            </w:r>
          </w:p>
        </w:tc>
      </w:tr>
      <w:tr w:rsidR="001B1E57" w:rsidRPr="00755442" w14:paraId="6B491E65" w14:textId="77777777" w:rsidTr="5BEACF45">
        <w:trPr>
          <w:trHeight w:val="200"/>
        </w:trPr>
        <w:tc>
          <w:tcPr>
            <w:tcW w:w="2830" w:type="dxa"/>
            <w:tcBorders>
              <w:top w:val="nil"/>
              <w:left w:val="single" w:sz="4" w:space="0" w:color="auto"/>
              <w:bottom w:val="single" w:sz="4" w:space="0" w:color="auto"/>
              <w:right w:val="single" w:sz="4" w:space="0" w:color="auto"/>
            </w:tcBorders>
            <w:shd w:val="clear" w:color="auto" w:fill="D9D9D9" w:themeFill="background1" w:themeFillShade="D9"/>
            <w:hideMark/>
          </w:tcPr>
          <w:p w14:paraId="0A07AAA6" w14:textId="77777777" w:rsidR="001B1E57" w:rsidRPr="000165AA" w:rsidRDefault="001B1E57" w:rsidP="00EC48BF">
            <w:pPr>
              <w:spacing w:after="0" w:line="240" w:lineRule="auto"/>
              <w:ind w:right="95"/>
              <w:rPr>
                <w:rFonts w:eastAsia="Times New Roman" w:cstheme="minorHAnsi"/>
                <w:sz w:val="17"/>
                <w:szCs w:val="17"/>
                <w:lang w:eastAsia="en-GB"/>
              </w:rPr>
            </w:pPr>
            <w:r w:rsidRPr="000165AA">
              <w:rPr>
                <w:rFonts w:eastAsia="Times New Roman" w:cstheme="minorHAnsi"/>
                <w:sz w:val="17"/>
                <w:szCs w:val="17"/>
                <w:lang w:eastAsia="en-GB"/>
              </w:rPr>
              <w:t>Company name</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1F0BBDE" w14:textId="523C9A35" w:rsidR="5BEACF45" w:rsidRDefault="001137F0" w:rsidP="5BEACF45">
            <w:pPr>
              <w:spacing w:after="0"/>
              <w:rPr>
                <w:rFonts w:eastAsiaTheme="minorEastAsia"/>
                <w:color w:val="000000" w:themeColor="text1"/>
                <w:sz w:val="17"/>
                <w:szCs w:val="17"/>
              </w:rPr>
            </w:pPr>
            <w:r w:rsidRPr="001137F0">
              <w:rPr>
                <w:rFonts w:eastAsiaTheme="minorEastAsia"/>
                <w:color w:val="000000" w:themeColor="text1"/>
                <w:sz w:val="17"/>
                <w:szCs w:val="17"/>
              </w:rPr>
              <w:t>Unilever Plc</w:t>
            </w:r>
          </w:p>
        </w:tc>
      </w:tr>
      <w:tr w:rsidR="001B1E57" w:rsidRPr="00755442" w14:paraId="123ECFD4" w14:textId="77777777" w:rsidTr="5BEACF45">
        <w:trPr>
          <w:trHeight w:val="200"/>
        </w:trPr>
        <w:tc>
          <w:tcPr>
            <w:tcW w:w="2830" w:type="dxa"/>
            <w:tcBorders>
              <w:top w:val="nil"/>
              <w:left w:val="single" w:sz="4" w:space="0" w:color="auto"/>
              <w:bottom w:val="single" w:sz="4" w:space="0" w:color="auto"/>
              <w:right w:val="single" w:sz="4" w:space="0" w:color="auto"/>
            </w:tcBorders>
            <w:shd w:val="clear" w:color="auto" w:fill="D9D9D9" w:themeFill="background1" w:themeFillShade="D9"/>
            <w:hideMark/>
          </w:tcPr>
          <w:p w14:paraId="6F1FEBF8" w14:textId="77777777" w:rsidR="001B1E57" w:rsidRPr="000165AA" w:rsidRDefault="001B1E57" w:rsidP="00EC48BF">
            <w:pPr>
              <w:spacing w:after="0" w:line="240" w:lineRule="auto"/>
              <w:ind w:right="95"/>
              <w:rPr>
                <w:rFonts w:eastAsia="Times New Roman" w:cstheme="minorHAnsi"/>
                <w:sz w:val="17"/>
                <w:szCs w:val="17"/>
                <w:lang w:eastAsia="en-GB"/>
              </w:rPr>
            </w:pPr>
            <w:r w:rsidRPr="000165AA">
              <w:rPr>
                <w:rFonts w:eastAsia="Times New Roman" w:cstheme="minorHAnsi"/>
                <w:sz w:val="17"/>
                <w:szCs w:val="17"/>
                <w:lang w:eastAsia="en-GB"/>
              </w:rPr>
              <w:t>Date of vote</w:t>
            </w:r>
          </w:p>
        </w:tc>
        <w:tc>
          <w:tcPr>
            <w:tcW w:w="637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B83CB35" w14:textId="5579BAEC" w:rsidR="5BEACF45" w:rsidRDefault="00B22D6C" w:rsidP="5BEACF45">
            <w:pPr>
              <w:spacing w:after="0"/>
              <w:rPr>
                <w:rFonts w:eastAsiaTheme="minorEastAsia"/>
                <w:color w:val="000000" w:themeColor="text1"/>
                <w:sz w:val="17"/>
                <w:szCs w:val="17"/>
              </w:rPr>
            </w:pPr>
            <w:r w:rsidRPr="00B22D6C">
              <w:rPr>
                <w:rFonts w:eastAsiaTheme="minorEastAsia"/>
                <w:color w:val="000000" w:themeColor="text1"/>
                <w:sz w:val="17"/>
                <w:szCs w:val="17"/>
              </w:rPr>
              <w:t>2024-05-01</w:t>
            </w:r>
          </w:p>
        </w:tc>
      </w:tr>
      <w:tr w:rsidR="001B1E57" w:rsidRPr="00755442" w14:paraId="54EEA2B1" w14:textId="77777777" w:rsidTr="5BEACF45">
        <w:trPr>
          <w:trHeight w:val="400"/>
        </w:trPr>
        <w:tc>
          <w:tcPr>
            <w:tcW w:w="2830" w:type="dxa"/>
            <w:tcBorders>
              <w:top w:val="nil"/>
              <w:left w:val="single" w:sz="4" w:space="0" w:color="auto"/>
              <w:bottom w:val="single" w:sz="4" w:space="0" w:color="auto"/>
              <w:right w:val="single" w:sz="4" w:space="0" w:color="auto"/>
            </w:tcBorders>
            <w:shd w:val="clear" w:color="auto" w:fill="D9D9D9" w:themeFill="background1" w:themeFillShade="D9"/>
            <w:hideMark/>
          </w:tcPr>
          <w:p w14:paraId="0EB7AB92" w14:textId="77777777" w:rsidR="001B1E57" w:rsidRPr="000165AA" w:rsidRDefault="001B1E57" w:rsidP="00EC48BF">
            <w:pPr>
              <w:spacing w:after="0" w:line="240" w:lineRule="auto"/>
              <w:ind w:right="95"/>
              <w:rPr>
                <w:rFonts w:eastAsia="Times New Roman" w:cstheme="minorHAnsi"/>
                <w:sz w:val="17"/>
                <w:szCs w:val="17"/>
                <w:lang w:eastAsia="en-GB"/>
              </w:rPr>
            </w:pPr>
            <w:r>
              <w:rPr>
                <w:rFonts w:eastAsia="Times New Roman" w:cstheme="minorHAnsi"/>
                <w:sz w:val="17"/>
                <w:szCs w:val="17"/>
                <w:lang w:eastAsia="en-GB"/>
              </w:rPr>
              <w:t>S</w:t>
            </w:r>
            <w:r w:rsidRPr="000165AA">
              <w:rPr>
                <w:rFonts w:eastAsia="Times New Roman" w:cstheme="minorHAnsi"/>
                <w:sz w:val="17"/>
                <w:szCs w:val="17"/>
                <w:lang w:eastAsia="en-GB"/>
              </w:rPr>
              <w:t>ize of fund's holding as at the date of the vote (as % of portfolio)</w:t>
            </w:r>
          </w:p>
        </w:tc>
        <w:tc>
          <w:tcPr>
            <w:tcW w:w="6379" w:type="dxa"/>
            <w:tcBorders>
              <w:top w:val="single" w:sz="4" w:space="0" w:color="auto"/>
              <w:left w:val="nil"/>
              <w:bottom w:val="single" w:sz="4" w:space="0" w:color="auto"/>
              <w:right w:val="single" w:sz="4" w:space="0" w:color="auto"/>
            </w:tcBorders>
            <w:shd w:val="clear" w:color="auto" w:fill="FFFFFF" w:themeFill="background1"/>
            <w:noWrap/>
            <w:hideMark/>
          </w:tcPr>
          <w:p w14:paraId="3A5FF9F3" w14:textId="693E1559" w:rsidR="5BEACF45" w:rsidRDefault="00B22D6C" w:rsidP="5BEACF45">
            <w:pPr>
              <w:spacing w:after="0"/>
              <w:rPr>
                <w:rFonts w:eastAsiaTheme="minorEastAsia"/>
                <w:color w:val="000000" w:themeColor="text1"/>
                <w:sz w:val="17"/>
                <w:szCs w:val="17"/>
              </w:rPr>
            </w:pPr>
            <w:r w:rsidRPr="00B22D6C">
              <w:rPr>
                <w:rFonts w:eastAsiaTheme="minorEastAsia"/>
                <w:color w:val="000000" w:themeColor="text1"/>
                <w:sz w:val="17"/>
                <w:szCs w:val="17"/>
              </w:rPr>
              <w:t>0.180801</w:t>
            </w:r>
          </w:p>
        </w:tc>
      </w:tr>
      <w:tr w:rsidR="001B1E57" w:rsidRPr="00755442" w14:paraId="3560838F" w14:textId="77777777" w:rsidTr="5BEACF45">
        <w:trPr>
          <w:trHeight w:val="157"/>
        </w:trPr>
        <w:tc>
          <w:tcPr>
            <w:tcW w:w="2830" w:type="dxa"/>
            <w:tcBorders>
              <w:top w:val="nil"/>
              <w:left w:val="single" w:sz="4" w:space="0" w:color="auto"/>
              <w:bottom w:val="single" w:sz="4" w:space="0" w:color="auto"/>
              <w:right w:val="single" w:sz="4" w:space="0" w:color="auto"/>
            </w:tcBorders>
            <w:shd w:val="clear" w:color="auto" w:fill="D9D9D9" w:themeFill="background1" w:themeFillShade="D9"/>
            <w:hideMark/>
          </w:tcPr>
          <w:p w14:paraId="61E45543" w14:textId="77777777" w:rsidR="001B1E57" w:rsidRPr="000165AA" w:rsidRDefault="001B1E57" w:rsidP="00EC48BF">
            <w:pPr>
              <w:spacing w:after="0" w:line="240" w:lineRule="auto"/>
              <w:ind w:right="95"/>
              <w:rPr>
                <w:rFonts w:eastAsia="Times New Roman" w:cstheme="minorHAnsi"/>
                <w:sz w:val="17"/>
                <w:szCs w:val="17"/>
                <w:lang w:eastAsia="en-GB"/>
              </w:rPr>
            </w:pPr>
            <w:r w:rsidRPr="000165AA">
              <w:rPr>
                <w:rFonts w:eastAsia="Times New Roman" w:cstheme="minorHAnsi"/>
                <w:sz w:val="17"/>
                <w:szCs w:val="17"/>
                <w:lang w:eastAsia="en-GB"/>
              </w:rPr>
              <w:t>Summary of the resolution</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B0793DD" w14:textId="59F6675F" w:rsidR="5BEACF45" w:rsidRDefault="00B22D6C" w:rsidP="5BEACF45">
            <w:pPr>
              <w:spacing w:after="0"/>
              <w:rPr>
                <w:rFonts w:eastAsiaTheme="minorEastAsia"/>
                <w:color w:val="000000" w:themeColor="text1"/>
                <w:sz w:val="17"/>
                <w:szCs w:val="17"/>
              </w:rPr>
            </w:pPr>
            <w:r w:rsidRPr="00B22D6C">
              <w:rPr>
                <w:rFonts w:eastAsiaTheme="minorEastAsia"/>
                <w:color w:val="000000" w:themeColor="text1"/>
                <w:sz w:val="17"/>
                <w:szCs w:val="17"/>
              </w:rPr>
              <w:t>Resolution 4: Approve Climate Transition Action Plan</w:t>
            </w:r>
            <w:r w:rsidR="00AC3D54">
              <w:rPr>
                <w:rFonts w:eastAsiaTheme="minorEastAsia"/>
                <w:color w:val="000000" w:themeColor="text1"/>
                <w:sz w:val="17"/>
                <w:szCs w:val="17"/>
              </w:rPr>
              <w:t xml:space="preserve"> (CTAP)</w:t>
            </w:r>
          </w:p>
        </w:tc>
      </w:tr>
      <w:tr w:rsidR="001B1E57" w:rsidRPr="00755442" w14:paraId="216AD477" w14:textId="77777777" w:rsidTr="5BEACF45">
        <w:trPr>
          <w:trHeight w:val="200"/>
        </w:trPr>
        <w:tc>
          <w:tcPr>
            <w:tcW w:w="2830" w:type="dxa"/>
            <w:tcBorders>
              <w:top w:val="nil"/>
              <w:left w:val="single" w:sz="4" w:space="0" w:color="auto"/>
              <w:bottom w:val="single" w:sz="4" w:space="0" w:color="auto"/>
              <w:right w:val="single" w:sz="4" w:space="0" w:color="auto"/>
            </w:tcBorders>
            <w:shd w:val="clear" w:color="auto" w:fill="D9D9D9" w:themeFill="background1" w:themeFillShade="D9"/>
            <w:hideMark/>
          </w:tcPr>
          <w:p w14:paraId="52A3E7B4" w14:textId="77777777" w:rsidR="001B1E57" w:rsidRPr="000165AA" w:rsidRDefault="001B1E57" w:rsidP="00EC48BF">
            <w:pPr>
              <w:spacing w:after="0" w:line="240" w:lineRule="auto"/>
              <w:ind w:right="95"/>
              <w:rPr>
                <w:rFonts w:eastAsia="Times New Roman" w:cstheme="minorHAnsi"/>
                <w:sz w:val="17"/>
                <w:szCs w:val="17"/>
                <w:lang w:eastAsia="en-GB"/>
              </w:rPr>
            </w:pPr>
            <w:r w:rsidRPr="000165AA">
              <w:rPr>
                <w:rFonts w:eastAsia="Times New Roman" w:cstheme="minorHAnsi"/>
                <w:sz w:val="17"/>
                <w:szCs w:val="17"/>
                <w:lang w:eastAsia="en-GB"/>
              </w:rPr>
              <w:t>How you voted</w:t>
            </w:r>
          </w:p>
        </w:tc>
        <w:tc>
          <w:tcPr>
            <w:tcW w:w="6379" w:type="dxa"/>
            <w:tcBorders>
              <w:top w:val="nil"/>
              <w:left w:val="single" w:sz="4" w:space="0" w:color="auto"/>
              <w:bottom w:val="single" w:sz="4" w:space="0" w:color="auto"/>
              <w:right w:val="single" w:sz="4" w:space="0" w:color="auto"/>
            </w:tcBorders>
            <w:shd w:val="clear" w:color="auto" w:fill="FFFFFF" w:themeFill="background1"/>
            <w:noWrap/>
            <w:hideMark/>
          </w:tcPr>
          <w:p w14:paraId="27B90E88" w14:textId="2B91A612" w:rsidR="5BEACF45" w:rsidRDefault="00B22D6C" w:rsidP="5BEACF45">
            <w:pPr>
              <w:spacing w:after="0"/>
              <w:rPr>
                <w:rFonts w:eastAsiaTheme="minorEastAsia"/>
                <w:color w:val="000000" w:themeColor="text1"/>
                <w:sz w:val="17"/>
                <w:szCs w:val="17"/>
              </w:rPr>
            </w:pPr>
            <w:r>
              <w:rPr>
                <w:rFonts w:eastAsiaTheme="minorEastAsia"/>
                <w:color w:val="000000" w:themeColor="text1"/>
                <w:sz w:val="17"/>
                <w:szCs w:val="17"/>
              </w:rPr>
              <w:t>For</w:t>
            </w:r>
            <w:r w:rsidR="00154B59" w:rsidRPr="00154B59">
              <w:rPr>
                <w:rFonts w:eastAsiaTheme="minorEastAsia"/>
                <w:color w:val="000000" w:themeColor="text1"/>
                <w:sz w:val="17"/>
                <w:szCs w:val="17"/>
              </w:rPr>
              <w:t xml:space="preserve"> </w:t>
            </w:r>
            <w:r w:rsidR="5BEACF45" w:rsidRPr="5BEACF45">
              <w:rPr>
                <w:rFonts w:eastAsiaTheme="minorEastAsia"/>
                <w:color w:val="000000" w:themeColor="text1"/>
                <w:sz w:val="17"/>
                <w:szCs w:val="17"/>
              </w:rPr>
              <w:t>(</w:t>
            </w:r>
            <w:r>
              <w:rPr>
                <w:rFonts w:eastAsiaTheme="minorEastAsia"/>
                <w:color w:val="000000" w:themeColor="text1"/>
                <w:sz w:val="17"/>
                <w:szCs w:val="17"/>
              </w:rPr>
              <w:t>with</w:t>
            </w:r>
            <w:r w:rsidR="5BEACF45" w:rsidRPr="5BEACF45">
              <w:rPr>
                <w:rFonts w:eastAsiaTheme="minorEastAsia"/>
                <w:color w:val="000000" w:themeColor="text1"/>
                <w:sz w:val="17"/>
                <w:szCs w:val="17"/>
              </w:rPr>
              <w:t xml:space="preserve"> Management Recommendation)</w:t>
            </w:r>
          </w:p>
        </w:tc>
      </w:tr>
      <w:tr w:rsidR="001B1E57" w:rsidRPr="00755442" w14:paraId="1582A7E2" w14:textId="77777777" w:rsidTr="5BEACF45">
        <w:trPr>
          <w:trHeight w:val="400"/>
        </w:trPr>
        <w:tc>
          <w:tcPr>
            <w:tcW w:w="2830" w:type="dxa"/>
            <w:tcBorders>
              <w:top w:val="nil"/>
              <w:left w:val="single" w:sz="4" w:space="0" w:color="auto"/>
              <w:bottom w:val="single" w:sz="4" w:space="0" w:color="auto"/>
              <w:right w:val="single" w:sz="4" w:space="0" w:color="auto"/>
            </w:tcBorders>
            <w:shd w:val="clear" w:color="auto" w:fill="D9D9D9" w:themeFill="background1" w:themeFillShade="D9"/>
            <w:hideMark/>
          </w:tcPr>
          <w:p w14:paraId="1A65ADAD" w14:textId="77777777" w:rsidR="001B1E57" w:rsidRPr="000165AA" w:rsidRDefault="001B1E57" w:rsidP="00EC48BF">
            <w:pPr>
              <w:spacing w:after="0" w:line="240" w:lineRule="auto"/>
              <w:ind w:right="95"/>
              <w:rPr>
                <w:rFonts w:eastAsia="Times New Roman" w:cstheme="minorHAnsi"/>
                <w:sz w:val="17"/>
                <w:szCs w:val="17"/>
                <w:lang w:eastAsia="en-GB"/>
              </w:rPr>
            </w:pPr>
            <w:r w:rsidRPr="00505909">
              <w:rPr>
                <w:rFonts w:eastAsia="Times New Roman" w:cstheme="minorHAnsi"/>
                <w:sz w:val="17"/>
                <w:szCs w:val="17"/>
                <w:lang w:eastAsia="en-GB"/>
              </w:rPr>
              <w:t>Did you communicate your intent to the company ahead of the vote?</w:t>
            </w:r>
          </w:p>
        </w:tc>
        <w:tc>
          <w:tcPr>
            <w:tcW w:w="6379" w:type="dxa"/>
            <w:tcBorders>
              <w:top w:val="nil"/>
              <w:left w:val="single" w:sz="4" w:space="0" w:color="auto"/>
              <w:bottom w:val="single" w:sz="4" w:space="0" w:color="auto"/>
              <w:right w:val="single" w:sz="4" w:space="0" w:color="auto"/>
            </w:tcBorders>
            <w:shd w:val="clear" w:color="auto" w:fill="FFFFFF" w:themeFill="background1"/>
            <w:noWrap/>
            <w:hideMark/>
          </w:tcPr>
          <w:p w14:paraId="01C51C26" w14:textId="6234052C" w:rsidR="5BEACF45" w:rsidRDefault="00096741" w:rsidP="5BEACF45">
            <w:pPr>
              <w:spacing w:after="0"/>
              <w:rPr>
                <w:rFonts w:eastAsiaTheme="minorEastAsia"/>
                <w:color w:val="000000" w:themeColor="text1"/>
                <w:sz w:val="17"/>
                <w:szCs w:val="17"/>
              </w:rPr>
            </w:pPr>
            <w:r w:rsidRPr="00096741">
              <w:rPr>
                <w:rFonts w:eastAsiaTheme="minorEastAsia"/>
                <w:color w:val="000000" w:themeColor="text1"/>
                <w:sz w:val="17"/>
                <w:szCs w:val="17"/>
              </w:rPr>
              <w:t>LGIM publicly communicates its vote instructions on its website with the rationale for all votes against management. It is our policy not to engage with our investee companies in the three weeks prior to an AGM as our engagement is not limited to shareholder meeting topics.</w:t>
            </w:r>
          </w:p>
        </w:tc>
      </w:tr>
      <w:tr w:rsidR="001B1E57" w:rsidRPr="00755442" w14:paraId="687D2367" w14:textId="77777777" w:rsidTr="5BEACF45">
        <w:trPr>
          <w:trHeight w:val="631"/>
        </w:trPr>
        <w:tc>
          <w:tcPr>
            <w:tcW w:w="2830" w:type="dxa"/>
            <w:tcBorders>
              <w:top w:val="nil"/>
              <w:left w:val="single" w:sz="4" w:space="0" w:color="auto"/>
              <w:bottom w:val="single" w:sz="4" w:space="0" w:color="auto"/>
              <w:right w:val="single" w:sz="4" w:space="0" w:color="auto"/>
            </w:tcBorders>
            <w:shd w:val="clear" w:color="auto" w:fill="D9D9D9" w:themeFill="background1" w:themeFillShade="D9"/>
            <w:hideMark/>
          </w:tcPr>
          <w:p w14:paraId="506F3C5A" w14:textId="77777777" w:rsidR="001B1E57" w:rsidRPr="000165AA" w:rsidRDefault="001B1E57" w:rsidP="00EC48BF">
            <w:pPr>
              <w:spacing w:after="0" w:line="240" w:lineRule="auto"/>
              <w:ind w:right="95"/>
              <w:rPr>
                <w:rFonts w:eastAsia="Times New Roman" w:cstheme="minorHAnsi"/>
                <w:sz w:val="17"/>
                <w:szCs w:val="17"/>
                <w:lang w:eastAsia="en-GB"/>
              </w:rPr>
            </w:pPr>
            <w:r w:rsidRPr="000165AA">
              <w:rPr>
                <w:rFonts w:eastAsia="Times New Roman" w:cstheme="minorHAnsi"/>
                <w:sz w:val="17"/>
                <w:szCs w:val="17"/>
                <w:lang w:eastAsia="en-GB"/>
              </w:rPr>
              <w:t>Rationale for the voting decision</w:t>
            </w:r>
          </w:p>
        </w:tc>
        <w:tc>
          <w:tcPr>
            <w:tcW w:w="6379" w:type="dxa"/>
            <w:tcBorders>
              <w:top w:val="nil"/>
              <w:left w:val="single" w:sz="4" w:space="0" w:color="auto"/>
              <w:bottom w:val="single" w:sz="4" w:space="0" w:color="auto"/>
              <w:right w:val="single" w:sz="4" w:space="0" w:color="auto"/>
            </w:tcBorders>
            <w:shd w:val="clear" w:color="auto" w:fill="FFFFFF" w:themeFill="background1"/>
            <w:hideMark/>
          </w:tcPr>
          <w:p w14:paraId="40893A4C" w14:textId="4F9752BE" w:rsidR="5BEACF45" w:rsidRDefault="00AB17F2" w:rsidP="5BEACF45">
            <w:pPr>
              <w:spacing w:after="0"/>
              <w:rPr>
                <w:rFonts w:eastAsiaTheme="minorEastAsia"/>
                <w:color w:val="000000" w:themeColor="text1"/>
                <w:sz w:val="17"/>
                <w:szCs w:val="17"/>
              </w:rPr>
            </w:pPr>
            <w:r w:rsidRPr="00AB17F2">
              <w:rPr>
                <w:rFonts w:eastAsiaTheme="minorEastAsia"/>
                <w:color w:val="000000" w:themeColor="text1"/>
                <w:sz w:val="17"/>
                <w:szCs w:val="17"/>
              </w:rPr>
              <w:t xml:space="preserve">Climate change: A vote FOR the CTAP is applied as we understand it to meet LGIM's minimum expectations. This includes the disclosure of scope 1, 2 and material scope 3 GHG emissions and short, medium and long-term GHG emissions reduction targets consistent with a 1.5°C Paris goal. Despite the SBTi </w:t>
            </w:r>
            <w:r w:rsidR="00663DD0">
              <w:rPr>
                <w:rFonts w:eastAsiaTheme="minorEastAsia"/>
                <w:color w:val="000000" w:themeColor="text1"/>
                <w:sz w:val="17"/>
                <w:szCs w:val="17"/>
              </w:rPr>
              <w:t>(Science</w:t>
            </w:r>
            <w:r w:rsidR="00C4384A">
              <w:rPr>
                <w:rFonts w:eastAsiaTheme="minorEastAsia"/>
                <w:color w:val="000000" w:themeColor="text1"/>
                <w:sz w:val="17"/>
                <w:szCs w:val="17"/>
              </w:rPr>
              <w:t xml:space="preserve"> Based Target Initiative) </w:t>
            </w:r>
            <w:r w:rsidRPr="00AB17F2">
              <w:rPr>
                <w:rFonts w:eastAsiaTheme="minorEastAsia"/>
                <w:color w:val="000000" w:themeColor="text1"/>
                <w:sz w:val="17"/>
                <w:szCs w:val="17"/>
              </w:rPr>
              <w:t>recently removing their approval of the company</w:t>
            </w:r>
            <w:r w:rsidR="00C4384A">
              <w:rPr>
                <w:rFonts w:eastAsiaTheme="minorEastAsia"/>
                <w:color w:val="000000" w:themeColor="text1"/>
                <w:sz w:val="17"/>
                <w:szCs w:val="17"/>
              </w:rPr>
              <w:t>’</w:t>
            </w:r>
            <w:r w:rsidRPr="00AB17F2">
              <w:rPr>
                <w:rFonts w:eastAsiaTheme="minorEastAsia"/>
                <w:color w:val="000000" w:themeColor="text1"/>
                <w:sz w:val="17"/>
                <w:szCs w:val="17"/>
              </w:rPr>
              <w:t>s long-term scope 3 target, we note that the company has recently submitted near term 1.5</w:t>
            </w:r>
            <w:r w:rsidR="00C4384A" w:rsidRPr="00AB17F2">
              <w:rPr>
                <w:rFonts w:eastAsiaTheme="minorEastAsia"/>
                <w:color w:val="000000" w:themeColor="text1"/>
                <w:sz w:val="17"/>
                <w:szCs w:val="17"/>
              </w:rPr>
              <w:t xml:space="preserve">°C </w:t>
            </w:r>
            <w:r w:rsidRPr="00AB17F2">
              <w:rPr>
                <w:rFonts w:eastAsiaTheme="minorEastAsia"/>
                <w:color w:val="000000" w:themeColor="text1"/>
                <w:sz w:val="17"/>
                <w:szCs w:val="17"/>
              </w:rPr>
              <w:t>aligned scope 3 targets to the SBTi for validation and therefore at this stage believe the company's ambition level to be adequate. We therefore remain supportive of the net zero trajectory of the company at this stage.</w:t>
            </w:r>
          </w:p>
        </w:tc>
      </w:tr>
      <w:tr w:rsidR="001B1E57" w:rsidRPr="00755442" w14:paraId="6C38F14C" w14:textId="77777777" w:rsidTr="5BEACF45">
        <w:trPr>
          <w:trHeight w:val="148"/>
        </w:trPr>
        <w:tc>
          <w:tcPr>
            <w:tcW w:w="2830" w:type="dxa"/>
            <w:tcBorders>
              <w:top w:val="nil"/>
              <w:left w:val="single" w:sz="4" w:space="0" w:color="auto"/>
              <w:bottom w:val="single" w:sz="4" w:space="0" w:color="auto"/>
              <w:right w:val="single" w:sz="4" w:space="0" w:color="auto"/>
            </w:tcBorders>
            <w:shd w:val="clear" w:color="auto" w:fill="D9D9D9" w:themeFill="background1" w:themeFillShade="D9"/>
            <w:hideMark/>
          </w:tcPr>
          <w:p w14:paraId="23C419E2" w14:textId="77777777" w:rsidR="001B1E57" w:rsidRPr="000165AA" w:rsidRDefault="001B1E57" w:rsidP="00EC48BF">
            <w:pPr>
              <w:spacing w:after="0" w:line="240" w:lineRule="auto"/>
              <w:ind w:right="95"/>
              <w:rPr>
                <w:rFonts w:eastAsia="Times New Roman" w:cstheme="minorHAnsi"/>
                <w:sz w:val="17"/>
                <w:szCs w:val="17"/>
                <w:lang w:eastAsia="en-GB"/>
              </w:rPr>
            </w:pPr>
            <w:r w:rsidRPr="000165AA">
              <w:rPr>
                <w:rFonts w:eastAsia="Times New Roman" w:cstheme="minorHAnsi"/>
                <w:sz w:val="17"/>
                <w:szCs w:val="17"/>
                <w:lang w:eastAsia="en-GB"/>
              </w:rPr>
              <w:t>Outcome of the vote</w:t>
            </w:r>
          </w:p>
        </w:tc>
        <w:tc>
          <w:tcPr>
            <w:tcW w:w="6379" w:type="dxa"/>
            <w:tcBorders>
              <w:top w:val="nil"/>
              <w:left w:val="single" w:sz="4" w:space="0" w:color="auto"/>
              <w:bottom w:val="single" w:sz="4" w:space="0" w:color="auto"/>
              <w:right w:val="single" w:sz="4" w:space="0" w:color="auto"/>
            </w:tcBorders>
            <w:shd w:val="clear" w:color="auto" w:fill="FFFFFF" w:themeFill="background1"/>
            <w:hideMark/>
          </w:tcPr>
          <w:p w14:paraId="6CF01DDD" w14:textId="55BAC432" w:rsidR="5BEACF45" w:rsidRDefault="00AB17F2" w:rsidP="5BEACF45">
            <w:pPr>
              <w:spacing w:after="0"/>
              <w:rPr>
                <w:rFonts w:eastAsiaTheme="minorEastAsia"/>
                <w:color w:val="000000" w:themeColor="text1"/>
                <w:sz w:val="17"/>
                <w:szCs w:val="17"/>
              </w:rPr>
            </w:pPr>
            <w:r>
              <w:rPr>
                <w:rFonts w:eastAsiaTheme="minorEastAsia"/>
                <w:color w:val="000000" w:themeColor="text1"/>
                <w:sz w:val="17"/>
                <w:szCs w:val="17"/>
              </w:rPr>
              <w:t>Pass</w:t>
            </w:r>
          </w:p>
        </w:tc>
      </w:tr>
      <w:tr w:rsidR="001B1E57" w:rsidRPr="00755442" w14:paraId="117FCBDA" w14:textId="77777777" w:rsidTr="5BEACF45">
        <w:trPr>
          <w:trHeight w:val="366"/>
        </w:trPr>
        <w:tc>
          <w:tcPr>
            <w:tcW w:w="2830" w:type="dxa"/>
            <w:tcBorders>
              <w:top w:val="nil"/>
              <w:left w:val="single" w:sz="4" w:space="0" w:color="auto"/>
              <w:bottom w:val="single" w:sz="4" w:space="0" w:color="auto"/>
              <w:right w:val="single" w:sz="4" w:space="0" w:color="auto"/>
            </w:tcBorders>
            <w:shd w:val="clear" w:color="auto" w:fill="D9D9D9" w:themeFill="background1" w:themeFillShade="D9"/>
            <w:hideMark/>
          </w:tcPr>
          <w:p w14:paraId="5F8DF23C" w14:textId="77777777" w:rsidR="001B1E57" w:rsidRPr="000165AA" w:rsidRDefault="001B1E57" w:rsidP="00EC48BF">
            <w:pPr>
              <w:spacing w:after="0" w:line="240" w:lineRule="auto"/>
              <w:ind w:right="95"/>
              <w:rPr>
                <w:rFonts w:eastAsia="Times New Roman" w:cstheme="minorHAnsi"/>
                <w:sz w:val="17"/>
                <w:szCs w:val="17"/>
                <w:lang w:eastAsia="en-GB"/>
              </w:rPr>
            </w:pPr>
            <w:r w:rsidRPr="000165AA">
              <w:rPr>
                <w:rFonts w:eastAsia="Times New Roman" w:cstheme="minorHAnsi"/>
                <w:sz w:val="17"/>
                <w:szCs w:val="17"/>
                <w:lang w:eastAsia="en-GB"/>
              </w:rPr>
              <w:t>Implications of the outcome</w:t>
            </w:r>
          </w:p>
        </w:tc>
        <w:tc>
          <w:tcPr>
            <w:tcW w:w="6379" w:type="dxa"/>
            <w:tcBorders>
              <w:top w:val="nil"/>
              <w:left w:val="single" w:sz="4" w:space="0" w:color="auto"/>
              <w:bottom w:val="single" w:sz="4" w:space="0" w:color="auto"/>
              <w:right w:val="single" w:sz="4" w:space="0" w:color="auto"/>
            </w:tcBorders>
            <w:shd w:val="clear" w:color="auto" w:fill="FFFFFF" w:themeFill="background1"/>
          </w:tcPr>
          <w:p w14:paraId="76C33D7B" w14:textId="15F470F1" w:rsidR="5BEACF45" w:rsidRDefault="5BEACF45" w:rsidP="5BEACF45">
            <w:pPr>
              <w:spacing w:after="0"/>
              <w:rPr>
                <w:rFonts w:eastAsiaTheme="minorEastAsia"/>
                <w:color w:val="000000" w:themeColor="text1"/>
                <w:sz w:val="17"/>
                <w:szCs w:val="17"/>
              </w:rPr>
            </w:pPr>
            <w:r w:rsidRPr="5BEACF45">
              <w:rPr>
                <w:rFonts w:eastAsiaTheme="minorEastAsia"/>
                <w:color w:val="000000" w:themeColor="text1"/>
                <w:sz w:val="17"/>
                <w:szCs w:val="17"/>
              </w:rPr>
              <w:t>LGIM will continue to engage with the company and monitor progress.</w:t>
            </w:r>
          </w:p>
        </w:tc>
      </w:tr>
      <w:tr w:rsidR="00B262C7" w:rsidRPr="00755442" w14:paraId="7AD54B86" w14:textId="77777777" w:rsidTr="5BEACF45">
        <w:trPr>
          <w:trHeight w:val="407"/>
        </w:trPr>
        <w:tc>
          <w:tcPr>
            <w:tcW w:w="2830" w:type="dxa"/>
            <w:tcBorders>
              <w:top w:val="nil"/>
              <w:left w:val="single" w:sz="4" w:space="0" w:color="auto"/>
              <w:bottom w:val="single" w:sz="4" w:space="0" w:color="auto"/>
              <w:right w:val="single" w:sz="4" w:space="0" w:color="auto"/>
            </w:tcBorders>
            <w:shd w:val="clear" w:color="auto" w:fill="D9D9D9" w:themeFill="background1" w:themeFillShade="D9"/>
            <w:hideMark/>
          </w:tcPr>
          <w:p w14:paraId="6EBC374B" w14:textId="77777777" w:rsidR="00B262C7" w:rsidRPr="000165AA" w:rsidRDefault="00B262C7" w:rsidP="00B262C7">
            <w:pPr>
              <w:spacing w:after="0" w:line="240" w:lineRule="auto"/>
              <w:ind w:right="95"/>
              <w:rPr>
                <w:rFonts w:eastAsia="Times New Roman" w:cstheme="minorHAnsi"/>
                <w:sz w:val="17"/>
                <w:szCs w:val="17"/>
                <w:lang w:eastAsia="en-GB"/>
              </w:rPr>
            </w:pPr>
            <w:r w:rsidRPr="000165AA">
              <w:rPr>
                <w:rFonts w:eastAsia="Times New Roman" w:cstheme="minorHAnsi"/>
                <w:sz w:val="17"/>
                <w:szCs w:val="17"/>
                <w:lang w:eastAsia="en-GB"/>
              </w:rPr>
              <w:t>On which criteria have you assessed this vote to be "most significant"?</w:t>
            </w:r>
          </w:p>
        </w:tc>
        <w:tc>
          <w:tcPr>
            <w:tcW w:w="6379" w:type="dxa"/>
            <w:tcBorders>
              <w:top w:val="nil"/>
              <w:left w:val="single" w:sz="4" w:space="0" w:color="auto"/>
              <w:bottom w:val="single" w:sz="4" w:space="0" w:color="auto"/>
              <w:right w:val="single" w:sz="4" w:space="0" w:color="auto"/>
            </w:tcBorders>
            <w:shd w:val="clear" w:color="auto" w:fill="FFFFFF" w:themeFill="background1"/>
            <w:hideMark/>
          </w:tcPr>
          <w:p w14:paraId="5E2D16F2" w14:textId="7B95F0DE" w:rsidR="5BEACF45" w:rsidRDefault="003462F4" w:rsidP="5BEACF45">
            <w:pPr>
              <w:spacing w:after="0"/>
              <w:rPr>
                <w:rFonts w:eastAsiaTheme="minorEastAsia"/>
                <w:color w:val="000000" w:themeColor="text1"/>
                <w:sz w:val="17"/>
                <w:szCs w:val="17"/>
              </w:rPr>
            </w:pPr>
            <w:r w:rsidRPr="003462F4">
              <w:rPr>
                <w:rFonts w:eastAsiaTheme="minorEastAsia"/>
                <w:color w:val="000000" w:themeColor="text1"/>
                <w:sz w:val="17"/>
                <w:szCs w:val="17"/>
              </w:rPr>
              <w:t>Thematic - Climate: LGIM is publicly supportive of so called "Say on Climate" votes.  We expect transition plans put forward by companies to be both ambitious and credibly aligned to a 1.5</w:t>
            </w:r>
            <w:r w:rsidR="004C3F7D" w:rsidRPr="00AB17F2">
              <w:rPr>
                <w:rFonts w:eastAsiaTheme="minorEastAsia"/>
                <w:color w:val="000000" w:themeColor="text1"/>
                <w:sz w:val="17"/>
                <w:szCs w:val="17"/>
              </w:rPr>
              <w:t>°</w:t>
            </w:r>
            <w:r w:rsidRPr="003462F4">
              <w:rPr>
                <w:rFonts w:eastAsiaTheme="minorEastAsia"/>
                <w:color w:val="000000" w:themeColor="text1"/>
                <w:sz w:val="17"/>
                <w:szCs w:val="17"/>
              </w:rPr>
              <w:t>C scenario.  Given the high-profile nature of such votes, LGIM deem such votes to be significant, particularly when LGIM votes against the transition plan.</w:t>
            </w:r>
          </w:p>
        </w:tc>
      </w:tr>
      <w:tr w:rsidR="007C15CD" w:rsidRPr="00755442" w14:paraId="1C1502B6" w14:textId="77777777" w:rsidTr="5BEACF45">
        <w:trPr>
          <w:trHeight w:val="200"/>
        </w:trPr>
        <w:tc>
          <w:tcPr>
            <w:tcW w:w="9209" w:type="dxa"/>
            <w:gridSpan w:val="2"/>
            <w:tcBorders>
              <w:top w:val="single" w:sz="4" w:space="0" w:color="auto"/>
              <w:left w:val="single" w:sz="4" w:space="0" w:color="auto"/>
              <w:bottom w:val="single" w:sz="4" w:space="0" w:color="auto"/>
              <w:right w:val="single" w:sz="4" w:space="0" w:color="auto"/>
            </w:tcBorders>
            <w:shd w:val="clear" w:color="auto" w:fill="D81668"/>
            <w:vAlign w:val="bottom"/>
            <w:hideMark/>
          </w:tcPr>
          <w:p w14:paraId="6E3255DD" w14:textId="204F4A03" w:rsidR="007C15CD" w:rsidRPr="00675B45" w:rsidRDefault="007C15CD" w:rsidP="00EC48BF">
            <w:pPr>
              <w:spacing w:after="0" w:line="240" w:lineRule="auto"/>
              <w:ind w:right="95"/>
              <w:rPr>
                <w:rFonts w:eastAsia="Times New Roman" w:cstheme="minorHAnsi"/>
                <w:b/>
                <w:bCs/>
                <w:color w:val="FFFFFF"/>
                <w:sz w:val="17"/>
                <w:szCs w:val="17"/>
                <w:lang w:eastAsia="en-GB"/>
              </w:rPr>
            </w:pPr>
            <w:r>
              <w:rPr>
                <w:rFonts w:eastAsia="Times New Roman" w:cstheme="minorHAnsi"/>
                <w:b/>
                <w:bCs/>
                <w:color w:val="FFFFFF"/>
                <w:sz w:val="17"/>
                <w:szCs w:val="17"/>
                <w:lang w:eastAsia="en-GB"/>
              </w:rPr>
              <w:lastRenderedPageBreak/>
              <w:t>Vote 5</w:t>
            </w:r>
          </w:p>
        </w:tc>
      </w:tr>
      <w:tr w:rsidR="007C15CD" w:rsidRPr="00755442" w14:paraId="24952DB2" w14:textId="77777777" w:rsidTr="5BEACF45">
        <w:trPr>
          <w:trHeight w:val="200"/>
        </w:trPr>
        <w:tc>
          <w:tcPr>
            <w:tcW w:w="2830" w:type="dxa"/>
            <w:tcBorders>
              <w:top w:val="nil"/>
              <w:left w:val="single" w:sz="4" w:space="0" w:color="auto"/>
              <w:bottom w:val="single" w:sz="4" w:space="0" w:color="auto"/>
              <w:right w:val="single" w:sz="4" w:space="0" w:color="auto"/>
            </w:tcBorders>
            <w:shd w:val="clear" w:color="auto" w:fill="D9D9D9" w:themeFill="background1" w:themeFillShade="D9"/>
            <w:hideMark/>
          </w:tcPr>
          <w:p w14:paraId="6D15CAAB" w14:textId="77777777" w:rsidR="007C15CD" w:rsidRPr="000165AA" w:rsidRDefault="007C15CD" w:rsidP="00EC48BF">
            <w:pPr>
              <w:spacing w:after="0" w:line="240" w:lineRule="auto"/>
              <w:ind w:right="95"/>
              <w:rPr>
                <w:rFonts w:eastAsia="Times New Roman" w:cstheme="minorHAnsi"/>
                <w:sz w:val="17"/>
                <w:szCs w:val="17"/>
                <w:lang w:eastAsia="en-GB"/>
              </w:rPr>
            </w:pPr>
            <w:r w:rsidRPr="000165AA">
              <w:rPr>
                <w:rFonts w:eastAsia="Times New Roman" w:cstheme="minorHAnsi"/>
                <w:sz w:val="17"/>
                <w:szCs w:val="17"/>
                <w:lang w:eastAsia="en-GB"/>
              </w:rPr>
              <w:t>Company name</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27F37CF0" w14:textId="35BB8E1A" w:rsidR="5BEACF45" w:rsidRDefault="00F05609" w:rsidP="5BEACF45">
            <w:pPr>
              <w:spacing w:after="0"/>
              <w:rPr>
                <w:rFonts w:eastAsiaTheme="minorEastAsia"/>
                <w:color w:val="000000" w:themeColor="text1"/>
                <w:sz w:val="17"/>
                <w:szCs w:val="17"/>
              </w:rPr>
            </w:pPr>
            <w:r w:rsidRPr="00F05609">
              <w:rPr>
                <w:rFonts w:eastAsiaTheme="minorEastAsia"/>
                <w:color w:val="000000" w:themeColor="text1"/>
                <w:sz w:val="17"/>
                <w:szCs w:val="17"/>
              </w:rPr>
              <w:t>Tencent Holdings Limited</w:t>
            </w:r>
          </w:p>
        </w:tc>
      </w:tr>
      <w:tr w:rsidR="007C15CD" w:rsidRPr="00755442" w14:paraId="038E6235" w14:textId="77777777" w:rsidTr="5BEACF45">
        <w:trPr>
          <w:trHeight w:val="200"/>
        </w:trPr>
        <w:tc>
          <w:tcPr>
            <w:tcW w:w="2830" w:type="dxa"/>
            <w:tcBorders>
              <w:top w:val="nil"/>
              <w:left w:val="single" w:sz="4" w:space="0" w:color="auto"/>
              <w:bottom w:val="single" w:sz="4" w:space="0" w:color="auto"/>
              <w:right w:val="single" w:sz="4" w:space="0" w:color="auto"/>
            </w:tcBorders>
            <w:shd w:val="clear" w:color="auto" w:fill="D9D9D9" w:themeFill="background1" w:themeFillShade="D9"/>
            <w:hideMark/>
          </w:tcPr>
          <w:p w14:paraId="0A06BBD7" w14:textId="77777777" w:rsidR="007C15CD" w:rsidRPr="000165AA" w:rsidRDefault="007C15CD" w:rsidP="00EC48BF">
            <w:pPr>
              <w:spacing w:after="0" w:line="240" w:lineRule="auto"/>
              <w:ind w:right="95"/>
              <w:rPr>
                <w:rFonts w:eastAsia="Times New Roman" w:cstheme="minorHAnsi"/>
                <w:sz w:val="17"/>
                <w:szCs w:val="17"/>
                <w:lang w:eastAsia="en-GB"/>
              </w:rPr>
            </w:pPr>
            <w:r w:rsidRPr="000165AA">
              <w:rPr>
                <w:rFonts w:eastAsia="Times New Roman" w:cstheme="minorHAnsi"/>
                <w:sz w:val="17"/>
                <w:szCs w:val="17"/>
                <w:lang w:eastAsia="en-GB"/>
              </w:rPr>
              <w:t>Date of vote</w:t>
            </w:r>
          </w:p>
        </w:tc>
        <w:tc>
          <w:tcPr>
            <w:tcW w:w="6379"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DC9B4CA" w14:textId="28D0DBAC" w:rsidR="5BEACF45" w:rsidRDefault="00F05609" w:rsidP="5BEACF45">
            <w:pPr>
              <w:spacing w:after="0"/>
              <w:rPr>
                <w:rFonts w:eastAsiaTheme="minorEastAsia"/>
                <w:color w:val="000000" w:themeColor="text1"/>
                <w:sz w:val="17"/>
                <w:szCs w:val="17"/>
              </w:rPr>
            </w:pPr>
            <w:r w:rsidRPr="00F05609">
              <w:rPr>
                <w:rFonts w:eastAsiaTheme="minorEastAsia"/>
                <w:color w:val="000000" w:themeColor="text1"/>
                <w:sz w:val="17"/>
                <w:szCs w:val="17"/>
              </w:rPr>
              <w:t>2024-05-14</w:t>
            </w:r>
          </w:p>
        </w:tc>
      </w:tr>
      <w:tr w:rsidR="007C15CD" w:rsidRPr="00755442" w14:paraId="3E6533F7" w14:textId="77777777" w:rsidTr="5BEACF45">
        <w:trPr>
          <w:trHeight w:val="400"/>
        </w:trPr>
        <w:tc>
          <w:tcPr>
            <w:tcW w:w="2830" w:type="dxa"/>
            <w:tcBorders>
              <w:top w:val="nil"/>
              <w:left w:val="single" w:sz="4" w:space="0" w:color="auto"/>
              <w:bottom w:val="single" w:sz="4" w:space="0" w:color="auto"/>
              <w:right w:val="single" w:sz="4" w:space="0" w:color="auto"/>
            </w:tcBorders>
            <w:shd w:val="clear" w:color="auto" w:fill="D9D9D9" w:themeFill="background1" w:themeFillShade="D9"/>
            <w:hideMark/>
          </w:tcPr>
          <w:p w14:paraId="085A409B" w14:textId="77777777" w:rsidR="007C15CD" w:rsidRPr="000165AA" w:rsidRDefault="007C15CD" w:rsidP="00EC48BF">
            <w:pPr>
              <w:spacing w:after="0" w:line="240" w:lineRule="auto"/>
              <w:ind w:right="95"/>
              <w:rPr>
                <w:rFonts w:eastAsia="Times New Roman" w:cstheme="minorHAnsi"/>
                <w:sz w:val="17"/>
                <w:szCs w:val="17"/>
                <w:lang w:eastAsia="en-GB"/>
              </w:rPr>
            </w:pPr>
            <w:r>
              <w:rPr>
                <w:rFonts w:eastAsia="Times New Roman" w:cstheme="minorHAnsi"/>
                <w:sz w:val="17"/>
                <w:szCs w:val="17"/>
                <w:lang w:eastAsia="en-GB"/>
              </w:rPr>
              <w:t>S</w:t>
            </w:r>
            <w:r w:rsidRPr="000165AA">
              <w:rPr>
                <w:rFonts w:eastAsia="Times New Roman" w:cstheme="minorHAnsi"/>
                <w:sz w:val="17"/>
                <w:szCs w:val="17"/>
                <w:lang w:eastAsia="en-GB"/>
              </w:rPr>
              <w:t>ize of fund's holding as at the date of the vote (as % of portfolio)</w:t>
            </w:r>
          </w:p>
        </w:tc>
        <w:tc>
          <w:tcPr>
            <w:tcW w:w="6379" w:type="dxa"/>
            <w:tcBorders>
              <w:top w:val="single" w:sz="4" w:space="0" w:color="auto"/>
              <w:left w:val="nil"/>
              <w:bottom w:val="single" w:sz="4" w:space="0" w:color="auto"/>
              <w:right w:val="single" w:sz="4" w:space="0" w:color="auto"/>
            </w:tcBorders>
            <w:shd w:val="clear" w:color="auto" w:fill="FFFFFF" w:themeFill="background1"/>
            <w:noWrap/>
            <w:hideMark/>
          </w:tcPr>
          <w:p w14:paraId="5579DB43" w14:textId="09DA3C5F" w:rsidR="5BEACF45" w:rsidRDefault="00F05609" w:rsidP="5BEACF45">
            <w:pPr>
              <w:spacing w:after="0"/>
              <w:rPr>
                <w:rFonts w:eastAsiaTheme="minorEastAsia"/>
                <w:color w:val="000000" w:themeColor="text1"/>
                <w:sz w:val="17"/>
                <w:szCs w:val="17"/>
              </w:rPr>
            </w:pPr>
            <w:r w:rsidRPr="00F05609">
              <w:rPr>
                <w:rFonts w:eastAsiaTheme="minorEastAsia"/>
                <w:color w:val="000000" w:themeColor="text1"/>
                <w:sz w:val="17"/>
                <w:szCs w:val="17"/>
              </w:rPr>
              <w:t>0.253537</w:t>
            </w:r>
          </w:p>
        </w:tc>
      </w:tr>
      <w:tr w:rsidR="007C15CD" w:rsidRPr="00755442" w14:paraId="0F0FE4CA" w14:textId="77777777" w:rsidTr="5BEACF45">
        <w:trPr>
          <w:trHeight w:val="157"/>
        </w:trPr>
        <w:tc>
          <w:tcPr>
            <w:tcW w:w="2830" w:type="dxa"/>
            <w:tcBorders>
              <w:top w:val="nil"/>
              <w:left w:val="single" w:sz="4" w:space="0" w:color="auto"/>
              <w:bottom w:val="single" w:sz="4" w:space="0" w:color="auto"/>
              <w:right w:val="single" w:sz="4" w:space="0" w:color="auto"/>
            </w:tcBorders>
            <w:shd w:val="clear" w:color="auto" w:fill="D9D9D9" w:themeFill="background1" w:themeFillShade="D9"/>
            <w:hideMark/>
          </w:tcPr>
          <w:p w14:paraId="4B876252" w14:textId="77777777" w:rsidR="007C15CD" w:rsidRPr="000165AA" w:rsidRDefault="007C15CD" w:rsidP="00EC48BF">
            <w:pPr>
              <w:spacing w:after="0" w:line="240" w:lineRule="auto"/>
              <w:ind w:right="95"/>
              <w:rPr>
                <w:rFonts w:eastAsia="Times New Roman" w:cstheme="minorHAnsi"/>
                <w:sz w:val="17"/>
                <w:szCs w:val="17"/>
                <w:lang w:eastAsia="en-GB"/>
              </w:rPr>
            </w:pPr>
            <w:r w:rsidRPr="000165AA">
              <w:rPr>
                <w:rFonts w:eastAsia="Times New Roman" w:cstheme="minorHAnsi"/>
                <w:sz w:val="17"/>
                <w:szCs w:val="17"/>
                <w:lang w:eastAsia="en-GB"/>
              </w:rPr>
              <w:t>Summary of the resolution</w:t>
            </w:r>
          </w:p>
        </w:tc>
        <w:tc>
          <w:tcPr>
            <w:tcW w:w="637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62C809" w14:textId="7C19A4AB" w:rsidR="5BEACF45" w:rsidRDefault="00874672" w:rsidP="5BEACF45">
            <w:pPr>
              <w:spacing w:after="0"/>
              <w:rPr>
                <w:rFonts w:eastAsiaTheme="minorEastAsia"/>
                <w:color w:val="000000" w:themeColor="text1"/>
                <w:sz w:val="17"/>
                <w:szCs w:val="17"/>
              </w:rPr>
            </w:pPr>
            <w:r w:rsidRPr="00874672">
              <w:rPr>
                <w:rFonts w:eastAsiaTheme="minorEastAsia"/>
                <w:color w:val="000000" w:themeColor="text1"/>
                <w:sz w:val="17"/>
                <w:szCs w:val="17"/>
              </w:rPr>
              <w:t>Resolution 3a: Elect Charles St Leger Searle as Director</w:t>
            </w:r>
          </w:p>
        </w:tc>
      </w:tr>
      <w:tr w:rsidR="007C15CD" w:rsidRPr="00755442" w14:paraId="28CF710D" w14:textId="77777777" w:rsidTr="5BEACF45">
        <w:trPr>
          <w:trHeight w:val="200"/>
        </w:trPr>
        <w:tc>
          <w:tcPr>
            <w:tcW w:w="2830" w:type="dxa"/>
            <w:tcBorders>
              <w:top w:val="nil"/>
              <w:left w:val="single" w:sz="4" w:space="0" w:color="auto"/>
              <w:bottom w:val="single" w:sz="4" w:space="0" w:color="auto"/>
              <w:right w:val="single" w:sz="4" w:space="0" w:color="auto"/>
            </w:tcBorders>
            <w:shd w:val="clear" w:color="auto" w:fill="D9D9D9" w:themeFill="background1" w:themeFillShade="D9"/>
            <w:hideMark/>
          </w:tcPr>
          <w:p w14:paraId="6FC8DC5E" w14:textId="77777777" w:rsidR="007C15CD" w:rsidRPr="000165AA" w:rsidRDefault="007C15CD" w:rsidP="00EC48BF">
            <w:pPr>
              <w:spacing w:after="0" w:line="240" w:lineRule="auto"/>
              <w:ind w:right="95"/>
              <w:rPr>
                <w:rFonts w:eastAsia="Times New Roman" w:cstheme="minorHAnsi"/>
                <w:sz w:val="17"/>
                <w:szCs w:val="17"/>
                <w:lang w:eastAsia="en-GB"/>
              </w:rPr>
            </w:pPr>
            <w:r w:rsidRPr="000165AA">
              <w:rPr>
                <w:rFonts w:eastAsia="Times New Roman" w:cstheme="minorHAnsi"/>
                <w:sz w:val="17"/>
                <w:szCs w:val="17"/>
                <w:lang w:eastAsia="en-GB"/>
              </w:rPr>
              <w:t>How you voted</w:t>
            </w:r>
          </w:p>
        </w:tc>
        <w:tc>
          <w:tcPr>
            <w:tcW w:w="6379" w:type="dxa"/>
            <w:tcBorders>
              <w:top w:val="nil"/>
              <w:left w:val="single" w:sz="4" w:space="0" w:color="auto"/>
              <w:bottom w:val="single" w:sz="4" w:space="0" w:color="auto"/>
              <w:right w:val="single" w:sz="4" w:space="0" w:color="auto"/>
            </w:tcBorders>
            <w:shd w:val="clear" w:color="auto" w:fill="FFFFFF" w:themeFill="background1"/>
            <w:noWrap/>
            <w:hideMark/>
          </w:tcPr>
          <w:p w14:paraId="0ACBCD43" w14:textId="33238FA4" w:rsidR="5BEACF45" w:rsidRDefault="00874672" w:rsidP="5BEACF45">
            <w:pPr>
              <w:spacing w:after="0"/>
              <w:rPr>
                <w:rFonts w:eastAsiaTheme="minorEastAsia"/>
                <w:color w:val="000000" w:themeColor="text1"/>
                <w:sz w:val="17"/>
                <w:szCs w:val="17"/>
              </w:rPr>
            </w:pPr>
            <w:r>
              <w:rPr>
                <w:rFonts w:eastAsiaTheme="minorEastAsia"/>
                <w:color w:val="000000" w:themeColor="text1"/>
                <w:sz w:val="17"/>
                <w:szCs w:val="17"/>
              </w:rPr>
              <w:t>Against</w:t>
            </w:r>
            <w:r w:rsidR="5BEACF45" w:rsidRPr="5BEACF45">
              <w:rPr>
                <w:rFonts w:eastAsiaTheme="minorEastAsia"/>
                <w:color w:val="000000" w:themeColor="text1"/>
                <w:sz w:val="17"/>
                <w:szCs w:val="17"/>
              </w:rPr>
              <w:t xml:space="preserve"> (against management recommendation)</w:t>
            </w:r>
          </w:p>
        </w:tc>
      </w:tr>
      <w:tr w:rsidR="007C15CD" w:rsidRPr="00755442" w14:paraId="78379682" w14:textId="77777777" w:rsidTr="5BEACF45">
        <w:trPr>
          <w:trHeight w:val="400"/>
        </w:trPr>
        <w:tc>
          <w:tcPr>
            <w:tcW w:w="2830" w:type="dxa"/>
            <w:tcBorders>
              <w:top w:val="nil"/>
              <w:left w:val="single" w:sz="4" w:space="0" w:color="auto"/>
              <w:bottom w:val="single" w:sz="4" w:space="0" w:color="auto"/>
              <w:right w:val="single" w:sz="4" w:space="0" w:color="auto"/>
            </w:tcBorders>
            <w:shd w:val="clear" w:color="auto" w:fill="D9D9D9" w:themeFill="background1" w:themeFillShade="D9"/>
            <w:hideMark/>
          </w:tcPr>
          <w:p w14:paraId="3930D5BE" w14:textId="77777777" w:rsidR="007C15CD" w:rsidRPr="000165AA" w:rsidRDefault="007C15CD" w:rsidP="00EC48BF">
            <w:pPr>
              <w:spacing w:after="0" w:line="240" w:lineRule="auto"/>
              <w:ind w:right="95"/>
              <w:rPr>
                <w:rFonts w:eastAsia="Times New Roman" w:cstheme="minorHAnsi"/>
                <w:sz w:val="17"/>
                <w:szCs w:val="17"/>
                <w:lang w:eastAsia="en-GB"/>
              </w:rPr>
            </w:pPr>
            <w:r w:rsidRPr="00505909">
              <w:rPr>
                <w:rFonts w:eastAsia="Times New Roman" w:cstheme="minorHAnsi"/>
                <w:sz w:val="17"/>
                <w:szCs w:val="17"/>
                <w:lang w:eastAsia="en-GB"/>
              </w:rPr>
              <w:t>Did you communicate your intent to the company ahead of the vote?</w:t>
            </w:r>
          </w:p>
        </w:tc>
        <w:tc>
          <w:tcPr>
            <w:tcW w:w="6379" w:type="dxa"/>
            <w:tcBorders>
              <w:top w:val="nil"/>
              <w:left w:val="single" w:sz="4" w:space="0" w:color="auto"/>
              <w:bottom w:val="single" w:sz="4" w:space="0" w:color="auto"/>
              <w:right w:val="single" w:sz="4" w:space="0" w:color="auto"/>
            </w:tcBorders>
            <w:shd w:val="clear" w:color="auto" w:fill="FFFFFF" w:themeFill="background1"/>
            <w:noWrap/>
            <w:hideMark/>
          </w:tcPr>
          <w:p w14:paraId="1BBFDE5C" w14:textId="76D653C0" w:rsidR="5BEACF45" w:rsidRDefault="5BEACF45" w:rsidP="5BEACF45">
            <w:pPr>
              <w:spacing w:after="0"/>
              <w:rPr>
                <w:rFonts w:eastAsiaTheme="minorEastAsia"/>
                <w:color w:val="000000" w:themeColor="text1"/>
                <w:sz w:val="17"/>
                <w:szCs w:val="17"/>
              </w:rPr>
            </w:pPr>
            <w:r w:rsidRPr="5BEACF45">
              <w:rPr>
                <w:rFonts w:eastAsiaTheme="minorEastAsia"/>
                <w:color w:val="000000" w:themeColor="text1"/>
                <w:sz w:val="17"/>
                <w:szCs w:val="17"/>
              </w:rPr>
              <w:t>LGIM publicly communicates its vote instructions on its website the day after the company meeting, with a rationale for all votes against management. It is our policy not to engage with our investee companies in the three weeks prior to an AGM as our engagement is not limited to shareholder meeting topics.</w:t>
            </w:r>
          </w:p>
        </w:tc>
      </w:tr>
      <w:tr w:rsidR="007C15CD" w:rsidRPr="00755442" w14:paraId="32DEAAF6" w14:textId="77777777" w:rsidTr="5BEACF45">
        <w:trPr>
          <w:trHeight w:val="631"/>
        </w:trPr>
        <w:tc>
          <w:tcPr>
            <w:tcW w:w="2830" w:type="dxa"/>
            <w:tcBorders>
              <w:top w:val="nil"/>
              <w:left w:val="single" w:sz="4" w:space="0" w:color="auto"/>
              <w:bottom w:val="single" w:sz="4" w:space="0" w:color="auto"/>
              <w:right w:val="single" w:sz="4" w:space="0" w:color="auto"/>
            </w:tcBorders>
            <w:shd w:val="clear" w:color="auto" w:fill="D9D9D9" w:themeFill="background1" w:themeFillShade="D9"/>
            <w:hideMark/>
          </w:tcPr>
          <w:p w14:paraId="07960113" w14:textId="77777777" w:rsidR="007C15CD" w:rsidRPr="000165AA" w:rsidRDefault="007C15CD" w:rsidP="00EC48BF">
            <w:pPr>
              <w:spacing w:after="0" w:line="240" w:lineRule="auto"/>
              <w:ind w:right="95"/>
              <w:rPr>
                <w:rFonts w:eastAsia="Times New Roman" w:cstheme="minorHAnsi"/>
                <w:sz w:val="17"/>
                <w:szCs w:val="17"/>
                <w:lang w:eastAsia="en-GB"/>
              </w:rPr>
            </w:pPr>
            <w:r w:rsidRPr="000165AA">
              <w:rPr>
                <w:rFonts w:eastAsia="Times New Roman" w:cstheme="minorHAnsi"/>
                <w:sz w:val="17"/>
                <w:szCs w:val="17"/>
                <w:lang w:eastAsia="en-GB"/>
              </w:rPr>
              <w:t>Rationale for the voting decision</w:t>
            </w:r>
          </w:p>
        </w:tc>
        <w:tc>
          <w:tcPr>
            <w:tcW w:w="6379" w:type="dxa"/>
            <w:tcBorders>
              <w:top w:val="nil"/>
              <w:left w:val="single" w:sz="4" w:space="0" w:color="auto"/>
              <w:bottom w:val="single" w:sz="4" w:space="0" w:color="auto"/>
              <w:right w:val="single" w:sz="4" w:space="0" w:color="auto"/>
            </w:tcBorders>
            <w:shd w:val="clear" w:color="auto" w:fill="FFFFFF" w:themeFill="background1"/>
            <w:hideMark/>
          </w:tcPr>
          <w:p w14:paraId="45126619" w14:textId="5F2E88E9" w:rsidR="5BEACF45" w:rsidRDefault="00874672" w:rsidP="5BEACF45">
            <w:pPr>
              <w:spacing w:after="0"/>
              <w:rPr>
                <w:rFonts w:eastAsiaTheme="minorEastAsia"/>
                <w:color w:val="000000" w:themeColor="text1"/>
                <w:sz w:val="17"/>
                <w:szCs w:val="17"/>
              </w:rPr>
            </w:pPr>
            <w:r w:rsidRPr="00874672">
              <w:rPr>
                <w:rFonts w:eastAsiaTheme="minorEastAsia"/>
                <w:color w:val="000000" w:themeColor="text1"/>
                <w:sz w:val="17"/>
                <w:szCs w:val="17"/>
              </w:rPr>
              <w:t>Audit Committee:  A vote against is applied as LGIM expects the Committee to be comprised of independent directors. Climate Impact Pledge: A vote against is applied as the company is deemed to not meet minimum standards with regard to climate risk management.</w:t>
            </w:r>
          </w:p>
        </w:tc>
      </w:tr>
      <w:tr w:rsidR="007C15CD" w:rsidRPr="00755442" w14:paraId="5C8427AA" w14:textId="77777777" w:rsidTr="5BEACF45">
        <w:trPr>
          <w:trHeight w:val="148"/>
        </w:trPr>
        <w:tc>
          <w:tcPr>
            <w:tcW w:w="2830" w:type="dxa"/>
            <w:tcBorders>
              <w:top w:val="nil"/>
              <w:left w:val="single" w:sz="4" w:space="0" w:color="auto"/>
              <w:bottom w:val="single" w:sz="4" w:space="0" w:color="auto"/>
              <w:right w:val="single" w:sz="4" w:space="0" w:color="auto"/>
            </w:tcBorders>
            <w:shd w:val="clear" w:color="auto" w:fill="D9D9D9" w:themeFill="background1" w:themeFillShade="D9"/>
            <w:hideMark/>
          </w:tcPr>
          <w:p w14:paraId="23516953" w14:textId="77777777" w:rsidR="007C15CD" w:rsidRPr="000165AA" w:rsidRDefault="007C15CD" w:rsidP="00EC48BF">
            <w:pPr>
              <w:spacing w:after="0" w:line="240" w:lineRule="auto"/>
              <w:ind w:right="95"/>
              <w:rPr>
                <w:rFonts w:eastAsia="Times New Roman" w:cstheme="minorHAnsi"/>
                <w:sz w:val="17"/>
                <w:szCs w:val="17"/>
                <w:lang w:eastAsia="en-GB"/>
              </w:rPr>
            </w:pPr>
            <w:r w:rsidRPr="000165AA">
              <w:rPr>
                <w:rFonts w:eastAsia="Times New Roman" w:cstheme="minorHAnsi"/>
                <w:sz w:val="17"/>
                <w:szCs w:val="17"/>
                <w:lang w:eastAsia="en-GB"/>
              </w:rPr>
              <w:t>Outcome of the vote</w:t>
            </w:r>
          </w:p>
        </w:tc>
        <w:tc>
          <w:tcPr>
            <w:tcW w:w="6379" w:type="dxa"/>
            <w:tcBorders>
              <w:top w:val="nil"/>
              <w:left w:val="single" w:sz="4" w:space="0" w:color="auto"/>
              <w:bottom w:val="single" w:sz="4" w:space="0" w:color="auto"/>
              <w:right w:val="single" w:sz="4" w:space="0" w:color="auto"/>
            </w:tcBorders>
            <w:shd w:val="clear" w:color="auto" w:fill="FFFFFF" w:themeFill="background1"/>
            <w:hideMark/>
          </w:tcPr>
          <w:p w14:paraId="6BBEEAC6" w14:textId="0B4133A2" w:rsidR="5BEACF45" w:rsidRDefault="00874672" w:rsidP="5BEACF45">
            <w:pPr>
              <w:spacing w:after="0"/>
              <w:rPr>
                <w:rFonts w:eastAsiaTheme="minorEastAsia"/>
                <w:color w:val="000000" w:themeColor="text1"/>
                <w:sz w:val="17"/>
                <w:szCs w:val="17"/>
              </w:rPr>
            </w:pPr>
            <w:r>
              <w:rPr>
                <w:rFonts w:eastAsiaTheme="minorEastAsia"/>
                <w:color w:val="000000" w:themeColor="text1"/>
                <w:sz w:val="17"/>
                <w:szCs w:val="17"/>
              </w:rPr>
              <w:t>Pass</w:t>
            </w:r>
          </w:p>
        </w:tc>
      </w:tr>
      <w:tr w:rsidR="007C15CD" w:rsidRPr="00755442" w14:paraId="4722AEE8" w14:textId="77777777" w:rsidTr="5BEACF45">
        <w:trPr>
          <w:trHeight w:val="130"/>
        </w:trPr>
        <w:tc>
          <w:tcPr>
            <w:tcW w:w="2830" w:type="dxa"/>
            <w:tcBorders>
              <w:top w:val="nil"/>
              <w:left w:val="single" w:sz="4" w:space="0" w:color="auto"/>
              <w:bottom w:val="single" w:sz="4" w:space="0" w:color="auto"/>
              <w:right w:val="single" w:sz="4" w:space="0" w:color="auto"/>
            </w:tcBorders>
            <w:shd w:val="clear" w:color="auto" w:fill="D9D9D9" w:themeFill="background1" w:themeFillShade="D9"/>
            <w:hideMark/>
          </w:tcPr>
          <w:p w14:paraId="54F296A6" w14:textId="77777777" w:rsidR="007C15CD" w:rsidRPr="000165AA" w:rsidRDefault="007C15CD" w:rsidP="00EC48BF">
            <w:pPr>
              <w:spacing w:after="0" w:line="240" w:lineRule="auto"/>
              <w:ind w:right="95"/>
              <w:rPr>
                <w:rFonts w:eastAsia="Times New Roman" w:cstheme="minorHAnsi"/>
                <w:sz w:val="17"/>
                <w:szCs w:val="17"/>
                <w:lang w:eastAsia="en-GB"/>
              </w:rPr>
            </w:pPr>
            <w:r w:rsidRPr="000165AA">
              <w:rPr>
                <w:rFonts w:eastAsia="Times New Roman" w:cstheme="minorHAnsi"/>
                <w:sz w:val="17"/>
                <w:szCs w:val="17"/>
                <w:lang w:eastAsia="en-GB"/>
              </w:rPr>
              <w:t>Implications of the outcome</w:t>
            </w:r>
          </w:p>
        </w:tc>
        <w:tc>
          <w:tcPr>
            <w:tcW w:w="6379" w:type="dxa"/>
            <w:tcBorders>
              <w:top w:val="nil"/>
              <w:left w:val="single" w:sz="4" w:space="0" w:color="auto"/>
              <w:bottom w:val="single" w:sz="4" w:space="0" w:color="auto"/>
              <w:right w:val="single" w:sz="4" w:space="0" w:color="auto"/>
            </w:tcBorders>
            <w:shd w:val="clear" w:color="auto" w:fill="FFFFFF" w:themeFill="background1"/>
          </w:tcPr>
          <w:p w14:paraId="11FA0693" w14:textId="00BFC03A" w:rsidR="5BEACF45" w:rsidRDefault="5BEACF45" w:rsidP="5BEACF45">
            <w:pPr>
              <w:spacing w:after="0"/>
              <w:rPr>
                <w:rFonts w:eastAsiaTheme="minorEastAsia"/>
                <w:color w:val="000000" w:themeColor="text1"/>
                <w:sz w:val="17"/>
                <w:szCs w:val="17"/>
              </w:rPr>
            </w:pPr>
            <w:r w:rsidRPr="5BEACF45">
              <w:rPr>
                <w:rFonts w:eastAsiaTheme="minorEastAsia"/>
                <w:color w:val="000000" w:themeColor="text1"/>
                <w:sz w:val="17"/>
                <w:szCs w:val="17"/>
              </w:rPr>
              <w:t>LGIM will continue to engage with our investee companies, publicly advocate our position on this issue and monitor company and market-level progress.</w:t>
            </w:r>
          </w:p>
        </w:tc>
      </w:tr>
      <w:tr w:rsidR="007C15CD" w:rsidRPr="00755442" w14:paraId="20983D66" w14:textId="77777777" w:rsidTr="5BEACF45">
        <w:trPr>
          <w:trHeight w:val="407"/>
        </w:trPr>
        <w:tc>
          <w:tcPr>
            <w:tcW w:w="2830" w:type="dxa"/>
            <w:tcBorders>
              <w:top w:val="nil"/>
              <w:left w:val="single" w:sz="4" w:space="0" w:color="auto"/>
              <w:bottom w:val="single" w:sz="4" w:space="0" w:color="auto"/>
              <w:right w:val="single" w:sz="4" w:space="0" w:color="auto"/>
            </w:tcBorders>
            <w:shd w:val="clear" w:color="auto" w:fill="D9D9D9" w:themeFill="background1" w:themeFillShade="D9"/>
            <w:hideMark/>
          </w:tcPr>
          <w:p w14:paraId="189CCDD4" w14:textId="77777777" w:rsidR="007C15CD" w:rsidRPr="000165AA" w:rsidRDefault="007C15CD" w:rsidP="00EC48BF">
            <w:pPr>
              <w:spacing w:after="0" w:line="240" w:lineRule="auto"/>
              <w:ind w:right="95"/>
              <w:rPr>
                <w:rFonts w:eastAsia="Times New Roman" w:cstheme="minorHAnsi"/>
                <w:sz w:val="17"/>
                <w:szCs w:val="17"/>
                <w:lang w:eastAsia="en-GB"/>
              </w:rPr>
            </w:pPr>
            <w:r w:rsidRPr="000165AA">
              <w:rPr>
                <w:rFonts w:eastAsia="Times New Roman" w:cstheme="minorHAnsi"/>
                <w:sz w:val="17"/>
                <w:szCs w:val="17"/>
                <w:lang w:eastAsia="en-GB"/>
              </w:rPr>
              <w:t>On which criteria have you assessed this vote to be "most significant"?</w:t>
            </w:r>
          </w:p>
        </w:tc>
        <w:tc>
          <w:tcPr>
            <w:tcW w:w="6379" w:type="dxa"/>
            <w:tcBorders>
              <w:top w:val="nil"/>
              <w:left w:val="single" w:sz="4" w:space="0" w:color="auto"/>
              <w:bottom w:val="single" w:sz="4" w:space="0" w:color="auto"/>
              <w:right w:val="single" w:sz="4" w:space="0" w:color="auto"/>
            </w:tcBorders>
            <w:shd w:val="clear" w:color="auto" w:fill="FFFFFF" w:themeFill="background1"/>
            <w:hideMark/>
          </w:tcPr>
          <w:p w14:paraId="50544C53" w14:textId="7AD1C696" w:rsidR="5BEACF45" w:rsidRDefault="00580CB8" w:rsidP="5BEACF45">
            <w:pPr>
              <w:spacing w:after="0"/>
              <w:rPr>
                <w:rFonts w:eastAsiaTheme="minorEastAsia"/>
                <w:color w:val="000000" w:themeColor="text1"/>
                <w:sz w:val="17"/>
                <w:szCs w:val="17"/>
              </w:rPr>
            </w:pPr>
            <w:r w:rsidRPr="00580CB8">
              <w:rPr>
                <w:rFonts w:eastAsiaTheme="minorEastAsia"/>
                <w:color w:val="000000" w:themeColor="text1"/>
                <w:sz w:val="17"/>
                <w:szCs w:val="17"/>
              </w:rPr>
              <w:t>Thematic - Climate: LGIM considers this vote to be significant as it is applied under the Climate Impact Pledge, our flagship engagement programme targeting companies in climate-critical sectors.  More information on LGIM's Climate Impact Pledge can be found here: https://www.lgim.com/uk/en/responsible-investing/climate-impact-pledge/</w:t>
            </w:r>
          </w:p>
        </w:tc>
      </w:tr>
    </w:tbl>
    <w:p w14:paraId="7D680404" w14:textId="117C880C" w:rsidR="00107F32" w:rsidRDefault="00107F32" w:rsidP="00C74C34">
      <w:pPr>
        <w:pStyle w:val="ListParagraph"/>
        <w:spacing w:line="252" w:lineRule="auto"/>
        <w:ind w:left="357" w:right="-45"/>
        <w:contextualSpacing w:val="0"/>
        <w:rPr>
          <w:b/>
          <w:bCs/>
          <w:sz w:val="24"/>
          <w:szCs w:val="24"/>
        </w:rPr>
      </w:pPr>
    </w:p>
    <w:p w14:paraId="3A283C5C" w14:textId="4CBB2406" w:rsidR="00C74C34" w:rsidRPr="001B48E0" w:rsidRDefault="00C74C34" w:rsidP="006C2416">
      <w:pPr>
        <w:pStyle w:val="ListParagraph"/>
        <w:numPr>
          <w:ilvl w:val="0"/>
          <w:numId w:val="1"/>
        </w:numPr>
        <w:spacing w:line="252" w:lineRule="auto"/>
        <w:ind w:left="357" w:right="-45" w:hanging="357"/>
        <w:contextualSpacing w:val="0"/>
        <w:rPr>
          <w:b/>
          <w:bCs/>
          <w:sz w:val="24"/>
          <w:szCs w:val="24"/>
        </w:rPr>
      </w:pPr>
      <w:r>
        <w:rPr>
          <w:b/>
          <w:bCs/>
          <w:sz w:val="24"/>
          <w:szCs w:val="24"/>
        </w:rPr>
        <w:t>Summary</w:t>
      </w:r>
    </w:p>
    <w:p w14:paraId="1A6F0EB5" w14:textId="65C10D80" w:rsidR="00107F32" w:rsidRPr="001B48E0" w:rsidRDefault="00107F32" w:rsidP="006C2416">
      <w:pPr>
        <w:spacing w:after="200" w:line="252" w:lineRule="auto"/>
        <w:ind w:right="-45"/>
      </w:pPr>
      <w:r w:rsidRPr="001B48E0">
        <w:t xml:space="preserve">This implementation statement has focused on adherence to the stated policies within the SIP, which was updated during the scheme year to reflect requirements under the Occupational Pension Scheme (Investment and Disclosure) (Amendment) Regulations 2019. </w:t>
      </w:r>
    </w:p>
    <w:p w14:paraId="3193F5F8" w14:textId="77777777" w:rsidR="00107F32" w:rsidRPr="001B48E0" w:rsidRDefault="00107F32" w:rsidP="006C2416">
      <w:pPr>
        <w:spacing w:after="200" w:line="252" w:lineRule="auto"/>
        <w:ind w:right="-45"/>
      </w:pPr>
      <w:r w:rsidRPr="001B48E0">
        <w:t>The Scheme has maintained an overall investment structure designed to meet the perceived needs of the membership in providing a default investment lifestyle and a range of investment options that should achieve appropriate returns consistent with the level of risk chosen by the member.</w:t>
      </w:r>
    </w:p>
    <w:p w14:paraId="144FF81F" w14:textId="13F1E803" w:rsidR="00107F32" w:rsidRPr="001B48E0" w:rsidRDefault="00107F32" w:rsidP="006C2416">
      <w:pPr>
        <w:spacing w:after="200" w:line="252" w:lineRule="auto"/>
        <w:ind w:right="-45"/>
      </w:pPr>
      <w:r w:rsidRPr="001B48E0">
        <w:t>The Scheme mainly invests in pooled funds and as such, the appointed investment manager has full discretion in evaluating ESG factors, including climate change consideration, and in engaging with investee companies, and exercising voting rights and stewardship obligations attached to the investments. A description of engagement and voting behaviour during the year is included within this statement. Also included are details of the contractual arrangement with the manager, and that the remuneration for services is in line with the policies mentioned in the SIP.</w:t>
      </w:r>
    </w:p>
    <w:p w14:paraId="5AEE8C9C" w14:textId="4BBE24C7" w:rsidR="00107F32" w:rsidRPr="001B48E0" w:rsidRDefault="10AD6A6D" w:rsidP="006C2416">
      <w:pPr>
        <w:spacing w:after="200" w:line="252" w:lineRule="auto"/>
        <w:ind w:right="-45"/>
      </w:pPr>
      <w:r>
        <w:t>The Trustee</w:t>
      </w:r>
      <w:r w:rsidR="6DED7756">
        <w:t>s</w:t>
      </w:r>
      <w:r>
        <w:t xml:space="preserve"> can therefore confirm that </w:t>
      </w:r>
      <w:r w:rsidR="595E1D1A">
        <w:t xml:space="preserve">the SIP’s </w:t>
      </w:r>
      <w:r>
        <w:t>policies have been followed in the year to 3</w:t>
      </w:r>
      <w:r w:rsidR="434F0718">
        <w:t>0</w:t>
      </w:r>
      <w:r>
        <w:t xml:space="preserve"> </w:t>
      </w:r>
      <w:r w:rsidR="434F0718">
        <w:t xml:space="preserve">September </w:t>
      </w:r>
      <w:r>
        <w:t>202</w:t>
      </w:r>
      <w:r w:rsidR="00580CB8">
        <w:t>4</w:t>
      </w:r>
      <w:r>
        <w:t>.</w:t>
      </w:r>
    </w:p>
    <w:p w14:paraId="0C95243A" w14:textId="77777777" w:rsidR="00107F32" w:rsidRPr="00107F32" w:rsidRDefault="00107F32" w:rsidP="00FD4C65">
      <w:pPr>
        <w:ind w:right="-46"/>
        <w:rPr>
          <w:highlight w:val="yellow"/>
        </w:rPr>
      </w:pPr>
    </w:p>
    <w:p w14:paraId="509B7998" w14:textId="77777777" w:rsidR="00107F32" w:rsidRPr="00E52895" w:rsidRDefault="00107F32" w:rsidP="00FD4C65">
      <w:pPr>
        <w:ind w:right="-46"/>
      </w:pPr>
    </w:p>
    <w:p w14:paraId="7794A2B8" w14:textId="77777777" w:rsidR="00107F32" w:rsidRPr="00E52895" w:rsidRDefault="00107F32" w:rsidP="00FD4C65">
      <w:pPr>
        <w:spacing w:line="300" w:lineRule="exact"/>
        <w:ind w:right="-46"/>
        <w:rPr>
          <w:rFonts w:cs="Arial"/>
          <w:b/>
        </w:rPr>
      </w:pPr>
      <w:r w:rsidRPr="00E52895">
        <w:rPr>
          <w:rFonts w:cs="Arial"/>
          <w:b/>
        </w:rPr>
        <w:t xml:space="preserve">Signed: </w:t>
      </w:r>
      <w:r w:rsidRPr="00E52895">
        <w:rPr>
          <w:rFonts w:cs="Arial"/>
          <w:b/>
          <w:u w:val="single"/>
        </w:rPr>
        <w:tab/>
      </w:r>
      <w:r w:rsidRPr="00E52895">
        <w:rPr>
          <w:rFonts w:cs="Arial"/>
          <w:b/>
          <w:u w:val="single"/>
        </w:rPr>
        <w:tab/>
      </w:r>
      <w:r w:rsidRPr="00E52895">
        <w:rPr>
          <w:rFonts w:cs="Arial"/>
          <w:b/>
          <w:u w:val="single"/>
        </w:rPr>
        <w:tab/>
      </w:r>
      <w:r w:rsidRPr="00E52895">
        <w:rPr>
          <w:rFonts w:cs="Arial"/>
          <w:b/>
          <w:u w:val="single"/>
        </w:rPr>
        <w:tab/>
      </w:r>
      <w:r w:rsidRPr="00E52895">
        <w:rPr>
          <w:rFonts w:cs="Arial"/>
          <w:b/>
          <w:u w:val="single"/>
        </w:rPr>
        <w:tab/>
      </w:r>
      <w:r w:rsidRPr="00E52895">
        <w:rPr>
          <w:rFonts w:cs="Arial"/>
          <w:b/>
          <w:u w:val="single"/>
        </w:rPr>
        <w:tab/>
      </w:r>
      <w:r w:rsidRPr="00E52895">
        <w:rPr>
          <w:rFonts w:cs="Arial"/>
          <w:b/>
          <w:u w:val="single"/>
        </w:rPr>
        <w:tab/>
      </w:r>
      <w:r w:rsidRPr="00E52895">
        <w:rPr>
          <w:rFonts w:cs="Arial"/>
          <w:b/>
        </w:rPr>
        <w:tab/>
      </w:r>
    </w:p>
    <w:p w14:paraId="1C335944" w14:textId="77777777" w:rsidR="00107F32" w:rsidRPr="00E52895" w:rsidRDefault="00107F32" w:rsidP="00FD4C65">
      <w:pPr>
        <w:spacing w:line="300" w:lineRule="exact"/>
        <w:ind w:right="-46"/>
        <w:rPr>
          <w:rFonts w:cs="Arial"/>
          <w:b/>
        </w:rPr>
      </w:pPr>
    </w:p>
    <w:p w14:paraId="78F4593F" w14:textId="77777777" w:rsidR="00107F32" w:rsidRPr="00E52895" w:rsidRDefault="00107F32" w:rsidP="00FD4C65">
      <w:pPr>
        <w:spacing w:line="300" w:lineRule="exact"/>
        <w:ind w:right="-46"/>
        <w:rPr>
          <w:rFonts w:cs="Arial"/>
          <w:b/>
          <w:u w:val="single"/>
        </w:rPr>
      </w:pPr>
      <w:r w:rsidRPr="00E52895">
        <w:rPr>
          <w:rFonts w:cs="Arial"/>
          <w:b/>
        </w:rPr>
        <w:t xml:space="preserve">Date: </w:t>
      </w:r>
      <w:r w:rsidRPr="00E52895">
        <w:rPr>
          <w:rFonts w:cs="Arial"/>
          <w:b/>
          <w:u w:val="single"/>
        </w:rPr>
        <w:tab/>
      </w:r>
      <w:r w:rsidRPr="00E52895">
        <w:rPr>
          <w:rFonts w:cs="Arial"/>
          <w:b/>
          <w:u w:val="single"/>
        </w:rPr>
        <w:tab/>
      </w:r>
      <w:r w:rsidRPr="00E52895">
        <w:rPr>
          <w:rFonts w:cs="Arial"/>
          <w:b/>
          <w:u w:val="single"/>
        </w:rPr>
        <w:tab/>
      </w:r>
    </w:p>
    <w:p w14:paraId="363DD6D9" w14:textId="430AC6A8" w:rsidR="00107F32" w:rsidRPr="00D55B51" w:rsidRDefault="00107F32" w:rsidP="00E52895">
      <w:pPr>
        <w:spacing w:line="300" w:lineRule="exact"/>
        <w:ind w:right="-46"/>
      </w:pPr>
      <w:r w:rsidRPr="00E52895">
        <w:rPr>
          <w:b/>
        </w:rPr>
        <w:t>on behalf of the Trustee</w:t>
      </w:r>
      <w:r w:rsidR="00E52895" w:rsidRPr="00E52895">
        <w:rPr>
          <w:b/>
        </w:rPr>
        <w:t>s</w:t>
      </w:r>
      <w:r w:rsidRPr="00E52895">
        <w:rPr>
          <w:b/>
        </w:rPr>
        <w:t xml:space="preserve"> of </w:t>
      </w:r>
      <w:r w:rsidR="00E52895" w:rsidRPr="00E52895">
        <w:rPr>
          <w:b/>
        </w:rPr>
        <w:t>the Staff Pension and Life Assurance Scheme of the Royal Hospital for Neuro-disability - DC Section</w:t>
      </w:r>
    </w:p>
    <w:sectPr w:rsidR="00107F32" w:rsidRPr="00D55B51" w:rsidSect="007F76C7">
      <w:footerReference w:type="default" r:id="rId13"/>
      <w:pgSz w:w="11906" w:h="16838"/>
      <w:pgMar w:top="1134" w:right="1440" w:bottom="1440" w:left="1440" w:header="708"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45BE3" w14:textId="77777777" w:rsidR="00DB25FA" w:rsidRDefault="00DB25FA" w:rsidP="00B96F50">
      <w:pPr>
        <w:spacing w:after="0" w:line="240" w:lineRule="auto"/>
      </w:pPr>
      <w:r>
        <w:separator/>
      </w:r>
    </w:p>
  </w:endnote>
  <w:endnote w:type="continuationSeparator" w:id="0">
    <w:p w14:paraId="42838642" w14:textId="77777777" w:rsidR="00DB25FA" w:rsidRDefault="00DB25FA" w:rsidP="00B96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5272792"/>
      <w:docPartObj>
        <w:docPartGallery w:val="Page Numbers (Bottom of Page)"/>
        <w:docPartUnique/>
      </w:docPartObj>
    </w:sdtPr>
    <w:sdtEndPr>
      <w:rPr>
        <w:noProof/>
      </w:rPr>
    </w:sdtEndPr>
    <w:sdtContent>
      <w:p w14:paraId="16F9AA2E" w14:textId="0F5E51AD" w:rsidR="00B96F50" w:rsidRDefault="00B96F5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83AD40" w14:textId="77777777" w:rsidR="00B96F50" w:rsidRDefault="00B96F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2DAF8" w14:textId="77777777" w:rsidR="00DB25FA" w:rsidRDefault="00DB25FA" w:rsidP="00B96F50">
      <w:pPr>
        <w:spacing w:after="0" w:line="240" w:lineRule="auto"/>
      </w:pPr>
      <w:r>
        <w:separator/>
      </w:r>
    </w:p>
  </w:footnote>
  <w:footnote w:type="continuationSeparator" w:id="0">
    <w:p w14:paraId="007FA42A" w14:textId="77777777" w:rsidR="00DB25FA" w:rsidRDefault="00DB25FA" w:rsidP="00B96F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65864"/>
    <w:multiLevelType w:val="hybridMultilevel"/>
    <w:tmpl w:val="77825AC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CB15F3A"/>
    <w:multiLevelType w:val="hybridMultilevel"/>
    <w:tmpl w:val="F2CAF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975DB1"/>
    <w:multiLevelType w:val="multilevel"/>
    <w:tmpl w:val="3D7401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05D65A9"/>
    <w:multiLevelType w:val="hybridMultilevel"/>
    <w:tmpl w:val="BCD84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2C5DD9"/>
    <w:multiLevelType w:val="hybridMultilevel"/>
    <w:tmpl w:val="10A04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7E7342B"/>
    <w:multiLevelType w:val="hybridMultilevel"/>
    <w:tmpl w:val="6C0A50C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2117371">
    <w:abstractNumId w:val="0"/>
  </w:num>
  <w:num w:numId="2" w16cid:durableId="599333070">
    <w:abstractNumId w:val="3"/>
  </w:num>
  <w:num w:numId="3" w16cid:durableId="1743796058">
    <w:abstractNumId w:val="2"/>
  </w:num>
  <w:num w:numId="4" w16cid:durableId="41445836">
    <w:abstractNumId w:val="4"/>
  </w:num>
  <w:num w:numId="5" w16cid:durableId="2127188685">
    <w:abstractNumId w:val="5"/>
  </w:num>
  <w:num w:numId="6" w16cid:durableId="2112504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A20"/>
    <w:rsid w:val="000035D3"/>
    <w:rsid w:val="000065DB"/>
    <w:rsid w:val="00012D83"/>
    <w:rsid w:val="000203B4"/>
    <w:rsid w:val="00020DB7"/>
    <w:rsid w:val="000360FB"/>
    <w:rsid w:val="00071DE9"/>
    <w:rsid w:val="00076C78"/>
    <w:rsid w:val="00083406"/>
    <w:rsid w:val="00091F24"/>
    <w:rsid w:val="000953EE"/>
    <w:rsid w:val="00096316"/>
    <w:rsid w:val="00096741"/>
    <w:rsid w:val="000B638E"/>
    <w:rsid w:val="000D080B"/>
    <w:rsid w:val="000D12B2"/>
    <w:rsid w:val="000D2ECF"/>
    <w:rsid w:val="000E074C"/>
    <w:rsid w:val="000E25F1"/>
    <w:rsid w:val="000F3AC7"/>
    <w:rsid w:val="000F5650"/>
    <w:rsid w:val="000F6403"/>
    <w:rsid w:val="0010236E"/>
    <w:rsid w:val="00107F32"/>
    <w:rsid w:val="001137F0"/>
    <w:rsid w:val="00116CD4"/>
    <w:rsid w:val="0012259E"/>
    <w:rsid w:val="00123458"/>
    <w:rsid w:val="00124C0E"/>
    <w:rsid w:val="00132172"/>
    <w:rsid w:val="00134F9B"/>
    <w:rsid w:val="00141E27"/>
    <w:rsid w:val="001469CD"/>
    <w:rsid w:val="00154B59"/>
    <w:rsid w:val="00156F0D"/>
    <w:rsid w:val="00172946"/>
    <w:rsid w:val="001736C7"/>
    <w:rsid w:val="0018641C"/>
    <w:rsid w:val="00187FAB"/>
    <w:rsid w:val="001B1E57"/>
    <w:rsid w:val="001B48E0"/>
    <w:rsid w:val="001B553D"/>
    <w:rsid w:val="001B5792"/>
    <w:rsid w:val="001B6F4D"/>
    <w:rsid w:val="001C49B0"/>
    <w:rsid w:val="001D5C4C"/>
    <w:rsid w:val="001D7E2E"/>
    <w:rsid w:val="001E5A53"/>
    <w:rsid w:val="001F25B2"/>
    <w:rsid w:val="00213C8C"/>
    <w:rsid w:val="00216AB1"/>
    <w:rsid w:val="00223320"/>
    <w:rsid w:val="00231C1B"/>
    <w:rsid w:val="00240C17"/>
    <w:rsid w:val="00252C55"/>
    <w:rsid w:val="0026475E"/>
    <w:rsid w:val="002650F4"/>
    <w:rsid w:val="0028559E"/>
    <w:rsid w:val="00287489"/>
    <w:rsid w:val="002A6E33"/>
    <w:rsid w:val="002A7FC5"/>
    <w:rsid w:val="002B5316"/>
    <w:rsid w:val="002E520D"/>
    <w:rsid w:val="002E5960"/>
    <w:rsid w:val="002F2F31"/>
    <w:rsid w:val="0030151A"/>
    <w:rsid w:val="00304A95"/>
    <w:rsid w:val="00317560"/>
    <w:rsid w:val="00320FE8"/>
    <w:rsid w:val="0034617D"/>
    <w:rsid w:val="003462F4"/>
    <w:rsid w:val="003606B2"/>
    <w:rsid w:val="00370FDB"/>
    <w:rsid w:val="00381620"/>
    <w:rsid w:val="0038163F"/>
    <w:rsid w:val="00381BDF"/>
    <w:rsid w:val="00384835"/>
    <w:rsid w:val="00387957"/>
    <w:rsid w:val="003B0243"/>
    <w:rsid w:val="003C74D4"/>
    <w:rsid w:val="003D0354"/>
    <w:rsid w:val="00400A23"/>
    <w:rsid w:val="004022FF"/>
    <w:rsid w:val="00405AC9"/>
    <w:rsid w:val="004072C6"/>
    <w:rsid w:val="004108D1"/>
    <w:rsid w:val="004112CC"/>
    <w:rsid w:val="00413D6F"/>
    <w:rsid w:val="0042727D"/>
    <w:rsid w:val="00430C7C"/>
    <w:rsid w:val="0043687D"/>
    <w:rsid w:val="0043716F"/>
    <w:rsid w:val="004375E8"/>
    <w:rsid w:val="00437D07"/>
    <w:rsid w:val="004510E2"/>
    <w:rsid w:val="00451538"/>
    <w:rsid w:val="00451CC5"/>
    <w:rsid w:val="004624EC"/>
    <w:rsid w:val="00463D49"/>
    <w:rsid w:val="004666CF"/>
    <w:rsid w:val="004774FE"/>
    <w:rsid w:val="004913F3"/>
    <w:rsid w:val="004914C4"/>
    <w:rsid w:val="00492906"/>
    <w:rsid w:val="00497E43"/>
    <w:rsid w:val="004A3C3E"/>
    <w:rsid w:val="004B1858"/>
    <w:rsid w:val="004B5235"/>
    <w:rsid w:val="004C328D"/>
    <w:rsid w:val="004C3F7D"/>
    <w:rsid w:val="004C680D"/>
    <w:rsid w:val="004D67B6"/>
    <w:rsid w:val="004E7DEF"/>
    <w:rsid w:val="004F1BF3"/>
    <w:rsid w:val="004F23CD"/>
    <w:rsid w:val="00503ABF"/>
    <w:rsid w:val="00505909"/>
    <w:rsid w:val="00521A42"/>
    <w:rsid w:val="00540FE6"/>
    <w:rsid w:val="00544F64"/>
    <w:rsid w:val="005478E7"/>
    <w:rsid w:val="00556ED5"/>
    <w:rsid w:val="00580CB8"/>
    <w:rsid w:val="00585466"/>
    <w:rsid w:val="00591F83"/>
    <w:rsid w:val="005A3786"/>
    <w:rsid w:val="005A7F56"/>
    <w:rsid w:val="005B794B"/>
    <w:rsid w:val="005C3C2C"/>
    <w:rsid w:val="005D1E15"/>
    <w:rsid w:val="005E2BC0"/>
    <w:rsid w:val="005F2561"/>
    <w:rsid w:val="005F5C34"/>
    <w:rsid w:val="00603D6D"/>
    <w:rsid w:val="006073D2"/>
    <w:rsid w:val="006075B1"/>
    <w:rsid w:val="00610658"/>
    <w:rsid w:val="0061221D"/>
    <w:rsid w:val="00616B04"/>
    <w:rsid w:val="00622A94"/>
    <w:rsid w:val="00625B9D"/>
    <w:rsid w:val="00641464"/>
    <w:rsid w:val="006476DA"/>
    <w:rsid w:val="00650B06"/>
    <w:rsid w:val="0065720E"/>
    <w:rsid w:val="006610C8"/>
    <w:rsid w:val="006620E1"/>
    <w:rsid w:val="00663DD0"/>
    <w:rsid w:val="00686262"/>
    <w:rsid w:val="0068796A"/>
    <w:rsid w:val="0069334E"/>
    <w:rsid w:val="006955D6"/>
    <w:rsid w:val="006A3851"/>
    <w:rsid w:val="006A527B"/>
    <w:rsid w:val="006B1F4B"/>
    <w:rsid w:val="006B48C5"/>
    <w:rsid w:val="006C2416"/>
    <w:rsid w:val="006C5902"/>
    <w:rsid w:val="006D62A6"/>
    <w:rsid w:val="006E683F"/>
    <w:rsid w:val="006E6A10"/>
    <w:rsid w:val="00700F8E"/>
    <w:rsid w:val="00703E5E"/>
    <w:rsid w:val="007130E9"/>
    <w:rsid w:val="00714741"/>
    <w:rsid w:val="00717808"/>
    <w:rsid w:val="00733425"/>
    <w:rsid w:val="007344C7"/>
    <w:rsid w:val="00741A65"/>
    <w:rsid w:val="0074788B"/>
    <w:rsid w:val="007536EB"/>
    <w:rsid w:val="0075576F"/>
    <w:rsid w:val="00760619"/>
    <w:rsid w:val="00767CDC"/>
    <w:rsid w:val="0077390B"/>
    <w:rsid w:val="00775520"/>
    <w:rsid w:val="00781B5A"/>
    <w:rsid w:val="007944B7"/>
    <w:rsid w:val="007A5177"/>
    <w:rsid w:val="007C0816"/>
    <w:rsid w:val="007C15CD"/>
    <w:rsid w:val="007C4487"/>
    <w:rsid w:val="007C6D34"/>
    <w:rsid w:val="007D015E"/>
    <w:rsid w:val="007D21F8"/>
    <w:rsid w:val="007E21A9"/>
    <w:rsid w:val="007E3470"/>
    <w:rsid w:val="007F70E0"/>
    <w:rsid w:val="007F76C7"/>
    <w:rsid w:val="00802027"/>
    <w:rsid w:val="00803A5E"/>
    <w:rsid w:val="008149C4"/>
    <w:rsid w:val="00825C67"/>
    <w:rsid w:val="00827F8A"/>
    <w:rsid w:val="00834929"/>
    <w:rsid w:val="00843886"/>
    <w:rsid w:val="00847859"/>
    <w:rsid w:val="00850994"/>
    <w:rsid w:val="00851000"/>
    <w:rsid w:val="00867167"/>
    <w:rsid w:val="008707C2"/>
    <w:rsid w:val="00874672"/>
    <w:rsid w:val="0088279B"/>
    <w:rsid w:val="008917F4"/>
    <w:rsid w:val="00893DBC"/>
    <w:rsid w:val="00894EFB"/>
    <w:rsid w:val="008A43EC"/>
    <w:rsid w:val="008C30BF"/>
    <w:rsid w:val="008D4C98"/>
    <w:rsid w:val="008D4D09"/>
    <w:rsid w:val="008D7FDD"/>
    <w:rsid w:val="008E1820"/>
    <w:rsid w:val="008E6DE0"/>
    <w:rsid w:val="008F58E8"/>
    <w:rsid w:val="008F623F"/>
    <w:rsid w:val="008F66B6"/>
    <w:rsid w:val="008F7B73"/>
    <w:rsid w:val="009137F0"/>
    <w:rsid w:val="00922F08"/>
    <w:rsid w:val="0092593B"/>
    <w:rsid w:val="009367A7"/>
    <w:rsid w:val="00951DB0"/>
    <w:rsid w:val="009617D8"/>
    <w:rsid w:val="00970DE7"/>
    <w:rsid w:val="00975184"/>
    <w:rsid w:val="0098068E"/>
    <w:rsid w:val="00983542"/>
    <w:rsid w:val="00992DF2"/>
    <w:rsid w:val="0099337D"/>
    <w:rsid w:val="009A2526"/>
    <w:rsid w:val="009B014E"/>
    <w:rsid w:val="009C1F90"/>
    <w:rsid w:val="009C523E"/>
    <w:rsid w:val="009D0525"/>
    <w:rsid w:val="009E25F4"/>
    <w:rsid w:val="009E54B7"/>
    <w:rsid w:val="009F7327"/>
    <w:rsid w:val="00A0079A"/>
    <w:rsid w:val="00A02DA5"/>
    <w:rsid w:val="00A037A0"/>
    <w:rsid w:val="00A05A00"/>
    <w:rsid w:val="00A115E9"/>
    <w:rsid w:val="00A264AC"/>
    <w:rsid w:val="00A37765"/>
    <w:rsid w:val="00A37C4E"/>
    <w:rsid w:val="00A439B7"/>
    <w:rsid w:val="00A51262"/>
    <w:rsid w:val="00A51EAC"/>
    <w:rsid w:val="00A524D0"/>
    <w:rsid w:val="00A539B3"/>
    <w:rsid w:val="00A55FA8"/>
    <w:rsid w:val="00A57F74"/>
    <w:rsid w:val="00A8426A"/>
    <w:rsid w:val="00A85124"/>
    <w:rsid w:val="00AA73CA"/>
    <w:rsid w:val="00AB17F2"/>
    <w:rsid w:val="00AB2FDE"/>
    <w:rsid w:val="00AB4A1A"/>
    <w:rsid w:val="00AC3D54"/>
    <w:rsid w:val="00AC7B2E"/>
    <w:rsid w:val="00AD2F53"/>
    <w:rsid w:val="00AD6718"/>
    <w:rsid w:val="00AD7601"/>
    <w:rsid w:val="00AE6E59"/>
    <w:rsid w:val="00AE72A5"/>
    <w:rsid w:val="00AF013B"/>
    <w:rsid w:val="00B071C4"/>
    <w:rsid w:val="00B11EB2"/>
    <w:rsid w:val="00B1348A"/>
    <w:rsid w:val="00B15D1F"/>
    <w:rsid w:val="00B22D6C"/>
    <w:rsid w:val="00B22FA0"/>
    <w:rsid w:val="00B262C7"/>
    <w:rsid w:val="00B4293B"/>
    <w:rsid w:val="00B639CF"/>
    <w:rsid w:val="00B6730C"/>
    <w:rsid w:val="00B7754A"/>
    <w:rsid w:val="00B82DF7"/>
    <w:rsid w:val="00B830C6"/>
    <w:rsid w:val="00B92430"/>
    <w:rsid w:val="00B96F50"/>
    <w:rsid w:val="00BA268D"/>
    <w:rsid w:val="00BA3548"/>
    <w:rsid w:val="00BA5A75"/>
    <w:rsid w:val="00BB13CA"/>
    <w:rsid w:val="00BB38C7"/>
    <w:rsid w:val="00BC5882"/>
    <w:rsid w:val="00BD3BC9"/>
    <w:rsid w:val="00BE556F"/>
    <w:rsid w:val="00BF4838"/>
    <w:rsid w:val="00C02E2D"/>
    <w:rsid w:val="00C0310E"/>
    <w:rsid w:val="00C07C34"/>
    <w:rsid w:val="00C1679E"/>
    <w:rsid w:val="00C3618F"/>
    <w:rsid w:val="00C4384A"/>
    <w:rsid w:val="00C540F8"/>
    <w:rsid w:val="00C55EF7"/>
    <w:rsid w:val="00C56A75"/>
    <w:rsid w:val="00C57E1E"/>
    <w:rsid w:val="00C646D1"/>
    <w:rsid w:val="00C701F9"/>
    <w:rsid w:val="00C74C34"/>
    <w:rsid w:val="00C85BDA"/>
    <w:rsid w:val="00C95789"/>
    <w:rsid w:val="00CB300A"/>
    <w:rsid w:val="00CD275B"/>
    <w:rsid w:val="00CD4187"/>
    <w:rsid w:val="00CE08DF"/>
    <w:rsid w:val="00CF29A6"/>
    <w:rsid w:val="00D0176A"/>
    <w:rsid w:val="00D11C49"/>
    <w:rsid w:val="00D21E05"/>
    <w:rsid w:val="00D32040"/>
    <w:rsid w:val="00D41D11"/>
    <w:rsid w:val="00D45BCC"/>
    <w:rsid w:val="00D554C1"/>
    <w:rsid w:val="00D55B51"/>
    <w:rsid w:val="00D62EFB"/>
    <w:rsid w:val="00D6512F"/>
    <w:rsid w:val="00D84A8D"/>
    <w:rsid w:val="00D858A4"/>
    <w:rsid w:val="00D87AEE"/>
    <w:rsid w:val="00D93594"/>
    <w:rsid w:val="00DA4386"/>
    <w:rsid w:val="00DA4E12"/>
    <w:rsid w:val="00DA5646"/>
    <w:rsid w:val="00DA7CE6"/>
    <w:rsid w:val="00DB1A60"/>
    <w:rsid w:val="00DB25FA"/>
    <w:rsid w:val="00DB67CC"/>
    <w:rsid w:val="00DB67D1"/>
    <w:rsid w:val="00DC10B6"/>
    <w:rsid w:val="00DD4141"/>
    <w:rsid w:val="00DE2A20"/>
    <w:rsid w:val="00DE2BED"/>
    <w:rsid w:val="00DE5D37"/>
    <w:rsid w:val="00DE6F5D"/>
    <w:rsid w:val="00DE71D0"/>
    <w:rsid w:val="00DF0BCB"/>
    <w:rsid w:val="00DF7D56"/>
    <w:rsid w:val="00E003C1"/>
    <w:rsid w:val="00E01587"/>
    <w:rsid w:val="00E01F7A"/>
    <w:rsid w:val="00E03702"/>
    <w:rsid w:val="00E12410"/>
    <w:rsid w:val="00E3025C"/>
    <w:rsid w:val="00E3162A"/>
    <w:rsid w:val="00E36C66"/>
    <w:rsid w:val="00E40628"/>
    <w:rsid w:val="00E42495"/>
    <w:rsid w:val="00E52895"/>
    <w:rsid w:val="00E60F07"/>
    <w:rsid w:val="00E61516"/>
    <w:rsid w:val="00E62ED3"/>
    <w:rsid w:val="00E63D87"/>
    <w:rsid w:val="00E644FD"/>
    <w:rsid w:val="00E65753"/>
    <w:rsid w:val="00E77EEA"/>
    <w:rsid w:val="00E83F35"/>
    <w:rsid w:val="00E95559"/>
    <w:rsid w:val="00E96244"/>
    <w:rsid w:val="00E96C02"/>
    <w:rsid w:val="00E972F5"/>
    <w:rsid w:val="00E97A35"/>
    <w:rsid w:val="00EB35D4"/>
    <w:rsid w:val="00EB4169"/>
    <w:rsid w:val="00ED65FF"/>
    <w:rsid w:val="00EE7733"/>
    <w:rsid w:val="00EF406A"/>
    <w:rsid w:val="00EF6132"/>
    <w:rsid w:val="00EF7285"/>
    <w:rsid w:val="00F05609"/>
    <w:rsid w:val="00F06374"/>
    <w:rsid w:val="00F0763B"/>
    <w:rsid w:val="00F21E07"/>
    <w:rsid w:val="00F232B9"/>
    <w:rsid w:val="00F24164"/>
    <w:rsid w:val="00F330B6"/>
    <w:rsid w:val="00F411DA"/>
    <w:rsid w:val="00F507DE"/>
    <w:rsid w:val="00F53462"/>
    <w:rsid w:val="00F576EB"/>
    <w:rsid w:val="00F6205A"/>
    <w:rsid w:val="00F67D88"/>
    <w:rsid w:val="00F918FF"/>
    <w:rsid w:val="00FA5DF3"/>
    <w:rsid w:val="00FA6A6A"/>
    <w:rsid w:val="00FA76F7"/>
    <w:rsid w:val="00FC232C"/>
    <w:rsid w:val="00FD3EA1"/>
    <w:rsid w:val="00FD44F3"/>
    <w:rsid w:val="00FD4C65"/>
    <w:rsid w:val="00FD50E0"/>
    <w:rsid w:val="00FE1624"/>
    <w:rsid w:val="00FE3F54"/>
    <w:rsid w:val="00FE63F1"/>
    <w:rsid w:val="00FE7982"/>
    <w:rsid w:val="00FF1734"/>
    <w:rsid w:val="01A938AA"/>
    <w:rsid w:val="021E2CC8"/>
    <w:rsid w:val="0242085E"/>
    <w:rsid w:val="02B395B5"/>
    <w:rsid w:val="038022E7"/>
    <w:rsid w:val="03BBEB12"/>
    <w:rsid w:val="047ACE4D"/>
    <w:rsid w:val="054DD4EB"/>
    <w:rsid w:val="05DFB9F6"/>
    <w:rsid w:val="0941F620"/>
    <w:rsid w:val="0944812D"/>
    <w:rsid w:val="0A198CE6"/>
    <w:rsid w:val="0A5EFFA2"/>
    <w:rsid w:val="0AE0518E"/>
    <w:rsid w:val="0BF37369"/>
    <w:rsid w:val="0C7C21EF"/>
    <w:rsid w:val="0D64EE37"/>
    <w:rsid w:val="0DDF4826"/>
    <w:rsid w:val="0F4F90A3"/>
    <w:rsid w:val="0FD4DF5D"/>
    <w:rsid w:val="10086BD5"/>
    <w:rsid w:val="10AD6A6D"/>
    <w:rsid w:val="127C3BDE"/>
    <w:rsid w:val="12FC24D9"/>
    <w:rsid w:val="131FEA58"/>
    <w:rsid w:val="16AAC9EA"/>
    <w:rsid w:val="19C49CDE"/>
    <w:rsid w:val="1AC3D08E"/>
    <w:rsid w:val="1D4C956D"/>
    <w:rsid w:val="1E69973C"/>
    <w:rsid w:val="1F33C091"/>
    <w:rsid w:val="1F55C613"/>
    <w:rsid w:val="206E0C2B"/>
    <w:rsid w:val="2077A4FC"/>
    <w:rsid w:val="21E9F62E"/>
    <w:rsid w:val="22B613BA"/>
    <w:rsid w:val="25623C72"/>
    <w:rsid w:val="274C44C2"/>
    <w:rsid w:val="279A5537"/>
    <w:rsid w:val="279F74A6"/>
    <w:rsid w:val="284093A1"/>
    <w:rsid w:val="28508C92"/>
    <w:rsid w:val="288F3425"/>
    <w:rsid w:val="28E81523"/>
    <w:rsid w:val="2A67FE65"/>
    <w:rsid w:val="2AB6C297"/>
    <w:rsid w:val="2C4C8D23"/>
    <w:rsid w:val="2F36A666"/>
    <w:rsid w:val="2F5756A7"/>
    <w:rsid w:val="2FE5F3F6"/>
    <w:rsid w:val="2FF655ED"/>
    <w:rsid w:val="307CB384"/>
    <w:rsid w:val="30D276C7"/>
    <w:rsid w:val="32114E0C"/>
    <w:rsid w:val="3248601D"/>
    <w:rsid w:val="32F8E702"/>
    <w:rsid w:val="33CD77BF"/>
    <w:rsid w:val="38D48066"/>
    <w:rsid w:val="38F8B08A"/>
    <w:rsid w:val="3B0A0486"/>
    <w:rsid w:val="3C054508"/>
    <w:rsid w:val="3E41A548"/>
    <w:rsid w:val="3EAC44A6"/>
    <w:rsid w:val="3EB9E815"/>
    <w:rsid w:val="41458CF1"/>
    <w:rsid w:val="416AD19E"/>
    <w:rsid w:val="42978395"/>
    <w:rsid w:val="429D4E6F"/>
    <w:rsid w:val="42EE37D3"/>
    <w:rsid w:val="434F0718"/>
    <w:rsid w:val="4409F516"/>
    <w:rsid w:val="45BB1167"/>
    <w:rsid w:val="460B9DC1"/>
    <w:rsid w:val="463F1E75"/>
    <w:rsid w:val="4668BA8B"/>
    <w:rsid w:val="484AE5E2"/>
    <w:rsid w:val="4903E4D3"/>
    <w:rsid w:val="494547BA"/>
    <w:rsid w:val="4B8354EC"/>
    <w:rsid w:val="4BF99F30"/>
    <w:rsid w:val="4C14C99F"/>
    <w:rsid w:val="4CAE7AC0"/>
    <w:rsid w:val="4DF72A07"/>
    <w:rsid w:val="4E46BE1D"/>
    <w:rsid w:val="4FE7CF2E"/>
    <w:rsid w:val="5207F173"/>
    <w:rsid w:val="521F9850"/>
    <w:rsid w:val="55188197"/>
    <w:rsid w:val="55830873"/>
    <w:rsid w:val="569CE5AE"/>
    <w:rsid w:val="56BAE4D1"/>
    <w:rsid w:val="57F64180"/>
    <w:rsid w:val="592C7902"/>
    <w:rsid w:val="595E1D1A"/>
    <w:rsid w:val="59F3530C"/>
    <w:rsid w:val="5AAC771D"/>
    <w:rsid w:val="5B458444"/>
    <w:rsid w:val="5BEACF45"/>
    <w:rsid w:val="5EC71962"/>
    <w:rsid w:val="613D20A3"/>
    <w:rsid w:val="61E785DB"/>
    <w:rsid w:val="62D2957F"/>
    <w:rsid w:val="64B7827D"/>
    <w:rsid w:val="652A2B10"/>
    <w:rsid w:val="653692E7"/>
    <w:rsid w:val="653FABDA"/>
    <w:rsid w:val="66996C9D"/>
    <w:rsid w:val="66C4DABC"/>
    <w:rsid w:val="66D26348"/>
    <w:rsid w:val="67E51D69"/>
    <w:rsid w:val="6A93279F"/>
    <w:rsid w:val="6C991215"/>
    <w:rsid w:val="6CA8C60C"/>
    <w:rsid w:val="6CEADF5C"/>
    <w:rsid w:val="6D41A4CC"/>
    <w:rsid w:val="6D788812"/>
    <w:rsid w:val="6DED7756"/>
    <w:rsid w:val="6F8E0BA2"/>
    <w:rsid w:val="7074BDB9"/>
    <w:rsid w:val="7093F1DE"/>
    <w:rsid w:val="71251C3A"/>
    <w:rsid w:val="719B9CDD"/>
    <w:rsid w:val="71EFBA3D"/>
    <w:rsid w:val="72C0EC9B"/>
    <w:rsid w:val="757BC7F9"/>
    <w:rsid w:val="75B960F9"/>
    <w:rsid w:val="76F57C2C"/>
    <w:rsid w:val="7AABB3E1"/>
    <w:rsid w:val="7B5A0484"/>
    <w:rsid w:val="7BAE1B7F"/>
    <w:rsid w:val="7C73DFB4"/>
    <w:rsid w:val="7C7F2681"/>
    <w:rsid w:val="7C9692CB"/>
    <w:rsid w:val="7D0F1305"/>
    <w:rsid w:val="7D4ABBA4"/>
    <w:rsid w:val="7D826838"/>
    <w:rsid w:val="7E0FB015"/>
    <w:rsid w:val="7E9F6B7E"/>
    <w:rsid w:val="7EE68C05"/>
    <w:rsid w:val="7F874BD7"/>
    <w:rsid w:val="7FA51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D4D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7D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7D56"/>
    <w:rPr>
      <w:rFonts w:ascii="Segoe UI" w:hAnsi="Segoe UI" w:cs="Segoe UI"/>
      <w:sz w:val="18"/>
      <w:szCs w:val="18"/>
    </w:rPr>
  </w:style>
  <w:style w:type="paragraph" w:styleId="ListParagraph">
    <w:name w:val="List Paragraph"/>
    <w:basedOn w:val="Normal"/>
    <w:uiPriority w:val="34"/>
    <w:qFormat/>
    <w:rsid w:val="00E644FD"/>
    <w:pPr>
      <w:ind w:left="720"/>
      <w:contextualSpacing/>
    </w:pPr>
  </w:style>
  <w:style w:type="paragraph" w:styleId="Header">
    <w:name w:val="header"/>
    <w:basedOn w:val="Normal"/>
    <w:link w:val="HeaderChar"/>
    <w:uiPriority w:val="99"/>
    <w:unhideWhenUsed/>
    <w:rsid w:val="00B96F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6F50"/>
  </w:style>
  <w:style w:type="paragraph" w:styleId="Footer">
    <w:name w:val="footer"/>
    <w:basedOn w:val="Normal"/>
    <w:link w:val="FooterChar"/>
    <w:uiPriority w:val="99"/>
    <w:unhideWhenUsed/>
    <w:rsid w:val="00B96F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6F50"/>
  </w:style>
  <w:style w:type="table" w:styleId="TableGrid">
    <w:name w:val="Table Grid"/>
    <w:basedOn w:val="TableNormal"/>
    <w:uiPriority w:val="39"/>
    <w:rsid w:val="00556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03E5E"/>
    <w:rPr>
      <w:sz w:val="16"/>
      <w:szCs w:val="16"/>
    </w:rPr>
  </w:style>
  <w:style w:type="paragraph" w:styleId="CommentText">
    <w:name w:val="annotation text"/>
    <w:basedOn w:val="Normal"/>
    <w:link w:val="CommentTextChar"/>
    <w:uiPriority w:val="99"/>
    <w:unhideWhenUsed/>
    <w:rsid w:val="00703E5E"/>
    <w:pPr>
      <w:spacing w:line="240" w:lineRule="auto"/>
    </w:pPr>
    <w:rPr>
      <w:sz w:val="20"/>
      <w:szCs w:val="20"/>
    </w:rPr>
  </w:style>
  <w:style w:type="character" w:customStyle="1" w:styleId="CommentTextChar">
    <w:name w:val="Comment Text Char"/>
    <w:basedOn w:val="DefaultParagraphFont"/>
    <w:link w:val="CommentText"/>
    <w:uiPriority w:val="99"/>
    <w:rsid w:val="00703E5E"/>
    <w:rPr>
      <w:sz w:val="20"/>
      <w:szCs w:val="20"/>
    </w:rPr>
  </w:style>
  <w:style w:type="paragraph" w:styleId="CommentSubject">
    <w:name w:val="annotation subject"/>
    <w:basedOn w:val="CommentText"/>
    <w:next w:val="CommentText"/>
    <w:link w:val="CommentSubjectChar"/>
    <w:uiPriority w:val="99"/>
    <w:semiHidden/>
    <w:unhideWhenUsed/>
    <w:rsid w:val="00703E5E"/>
    <w:rPr>
      <w:b/>
      <w:bCs/>
    </w:rPr>
  </w:style>
  <w:style w:type="character" w:customStyle="1" w:styleId="CommentSubjectChar">
    <w:name w:val="Comment Subject Char"/>
    <w:basedOn w:val="CommentTextChar"/>
    <w:link w:val="CommentSubject"/>
    <w:uiPriority w:val="99"/>
    <w:semiHidden/>
    <w:rsid w:val="00703E5E"/>
    <w:rPr>
      <w:b/>
      <w:bCs/>
      <w:sz w:val="20"/>
      <w:szCs w:val="20"/>
    </w:rPr>
  </w:style>
  <w:style w:type="character" w:styleId="Hyperlink">
    <w:name w:val="Hyperlink"/>
    <w:basedOn w:val="DefaultParagraphFont"/>
    <w:uiPriority w:val="99"/>
    <w:unhideWhenUsed/>
    <w:rsid w:val="00EF406A"/>
    <w:rPr>
      <w:color w:val="0000FF"/>
      <w:u w:val="single"/>
    </w:rPr>
  </w:style>
  <w:style w:type="character" w:styleId="UnresolvedMention">
    <w:name w:val="Unresolved Mention"/>
    <w:basedOn w:val="DefaultParagraphFont"/>
    <w:uiPriority w:val="99"/>
    <w:semiHidden/>
    <w:unhideWhenUsed/>
    <w:rsid w:val="00213C8C"/>
    <w:rPr>
      <w:color w:val="605E5C"/>
      <w:shd w:val="clear" w:color="auto" w:fill="E1DFDD"/>
    </w:rPr>
  </w:style>
  <w:style w:type="character" w:styleId="FollowedHyperlink">
    <w:name w:val="FollowedHyperlink"/>
    <w:basedOn w:val="DefaultParagraphFont"/>
    <w:uiPriority w:val="99"/>
    <w:semiHidden/>
    <w:unhideWhenUsed/>
    <w:rsid w:val="00213C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42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ds.issgovernance.com/vd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hndpensionscheme.pensions-directory.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a2b16d-c99a-42bf-8263-ddd0a6ee6db6">
      <Terms xmlns="http://schemas.microsoft.com/office/infopath/2007/PartnerControls"/>
    </lcf76f155ced4ddcb4097134ff3c332f>
    <TaxCatchAll xmlns="5a2e0996-d1d3-43d3-9984-6cb501a5f3a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88F4703D893594D826C040C09F6054E" ma:contentTypeVersion="19" ma:contentTypeDescription="Create a new document." ma:contentTypeScope="" ma:versionID="35a5dc8d92a547255866d7bef6d1b372">
  <xsd:schema xmlns:xsd="http://www.w3.org/2001/XMLSchema" xmlns:xs="http://www.w3.org/2001/XMLSchema" xmlns:p="http://schemas.microsoft.com/office/2006/metadata/properties" xmlns:ns2="8ba2b16d-c99a-42bf-8263-ddd0a6ee6db6" xmlns:ns3="4bc86a0f-6f68-4248-98df-7dcc88e834a5" xmlns:ns4="5a2e0996-d1d3-43d3-9984-6cb501a5f3a3" targetNamespace="http://schemas.microsoft.com/office/2006/metadata/properties" ma:root="true" ma:fieldsID="e7eb08e6e018e1a1de94565533843e8b" ns2:_="" ns3:_="" ns4:_="">
    <xsd:import namespace="8ba2b16d-c99a-42bf-8263-ddd0a6ee6db6"/>
    <xsd:import namespace="4bc86a0f-6f68-4248-98df-7dcc88e834a5"/>
    <xsd:import namespace="5a2e0996-d1d3-43d3-9984-6cb501a5f3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2b16d-c99a-42bf-8263-ddd0a6ee6d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242fb91-79a5-4b93-8a08-4d9fe80d6a6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c86a0f-6f68-4248-98df-7dcc88e834a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2e0996-d1d3-43d3-9984-6cb501a5f3a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dff4f36-352f-44a8-9e1e-445608260d59}" ma:internalName="TaxCatchAll" ma:showField="CatchAllData" ma:web="5a2e0996-d1d3-43d3-9984-6cb501a5f3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578C61-C30A-43A4-B2CD-07474EE7B80A}">
  <ds:schemaRefs>
    <ds:schemaRef ds:uri="http://schemas.microsoft.com/sharepoint/v3/contenttype/forms"/>
  </ds:schemaRefs>
</ds:datastoreItem>
</file>

<file path=customXml/itemProps2.xml><?xml version="1.0" encoding="utf-8"?>
<ds:datastoreItem xmlns:ds="http://schemas.openxmlformats.org/officeDocument/2006/customXml" ds:itemID="{46389E70-BDED-451E-B88D-188CA07A357E}">
  <ds:schemaRefs>
    <ds:schemaRef ds:uri="http://schemas.microsoft.com/office/2006/metadata/properties"/>
    <ds:schemaRef ds:uri="http://schemas.microsoft.com/office/infopath/2007/PartnerControls"/>
    <ds:schemaRef ds:uri="8ba2b16d-c99a-42bf-8263-ddd0a6ee6db6"/>
    <ds:schemaRef ds:uri="5a2e0996-d1d3-43d3-9984-6cb501a5f3a3"/>
  </ds:schemaRefs>
</ds:datastoreItem>
</file>

<file path=customXml/itemProps3.xml><?xml version="1.0" encoding="utf-8"?>
<ds:datastoreItem xmlns:ds="http://schemas.openxmlformats.org/officeDocument/2006/customXml" ds:itemID="{98967B95-8C84-43C2-8F90-FCBB89F21054}">
  <ds:schemaRefs>
    <ds:schemaRef ds:uri="http://schemas.openxmlformats.org/officeDocument/2006/bibliography"/>
  </ds:schemaRefs>
</ds:datastoreItem>
</file>

<file path=customXml/itemProps4.xml><?xml version="1.0" encoding="utf-8"?>
<ds:datastoreItem xmlns:ds="http://schemas.openxmlformats.org/officeDocument/2006/customXml" ds:itemID="{80B015F3-AB59-49FE-BD2B-ACED598CF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2b16d-c99a-42bf-8263-ddd0a6ee6db6"/>
    <ds:schemaRef ds:uri="4bc86a0f-6f68-4248-98df-7dcc88e834a5"/>
    <ds:schemaRef ds:uri="5a2e0996-d1d3-43d3-9984-6cb501a5f3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3296</Words>
  <Characters>18789</Characters>
  <Application>Microsoft Office Word</Application>
  <DocSecurity>0</DocSecurity>
  <Lines>156</Lines>
  <Paragraphs>44</Paragraphs>
  <ScaleCrop>false</ScaleCrop>
  <Company/>
  <LinksUpToDate>false</LinksUpToDate>
  <CharactersWithSpaces>22041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2025-01-28T11:24:00Z</dcterms:created>
  <dcterms:modified xsi:type="dcterms:W3CDTF">2025-01-28T11:39:00Z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0x010100A88F4703D893594D826C040C09F6054E</vt:lpwstr>
  </property>
  <property fmtid="{D5CDD505-2E9C-101B-9397-08002B2CF9AE}" pid="3" name="MediaServiceImageTags">
    <vt:lpwstr/>
  </property>
</Properties>
</file>